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32" w:rsidRPr="00DE7D0A" w:rsidRDefault="00DE7D0A" w:rsidP="001A5682">
      <w:pPr>
        <w:spacing w:after="120"/>
        <w:jc w:val="center"/>
        <w:rPr>
          <w:b/>
        </w:rPr>
      </w:pPr>
      <w:bookmarkStart w:id="0" w:name="_GoBack"/>
      <w:bookmarkEnd w:id="0"/>
      <w:r w:rsidRPr="00DE7D0A">
        <w:rPr>
          <w:b/>
        </w:rPr>
        <w:t xml:space="preserve">РЕШЕНИЕ </w:t>
      </w:r>
      <w:r w:rsidR="004C2732" w:rsidRPr="00DE7D0A">
        <w:rPr>
          <w:b/>
        </w:rPr>
        <w:t>КОНФЕРЕНЦИИ</w:t>
      </w:r>
    </w:p>
    <w:p w:rsidR="00DE7D0A" w:rsidRDefault="00DE7D0A" w:rsidP="001A5682">
      <w:pPr>
        <w:contextualSpacing/>
        <w:jc w:val="center"/>
        <w:rPr>
          <w:b/>
        </w:rPr>
      </w:pPr>
      <w:r w:rsidRPr="00DE7D0A">
        <w:rPr>
          <w:b/>
        </w:rPr>
        <w:t xml:space="preserve">«О мерах по выполнению поручения Президента Российской Федерации по итогам Государственного совета Российской Федерации </w:t>
      </w:r>
    </w:p>
    <w:p w:rsidR="00DE7D0A" w:rsidRPr="00DE7D0A" w:rsidRDefault="00DE7D0A" w:rsidP="001A5682">
      <w:pPr>
        <w:contextualSpacing/>
        <w:jc w:val="center"/>
        <w:rPr>
          <w:b/>
        </w:rPr>
      </w:pPr>
      <w:r w:rsidRPr="00DE7D0A">
        <w:rPr>
          <w:b/>
        </w:rPr>
        <w:t>17 мая 2016 года по приведению в соответствие с современными требованиями документов технического регулирования в сфере строительства с учётом гармонизации отечественных и международных стандартов и лучших мировых практик»</w:t>
      </w:r>
    </w:p>
    <w:p w:rsidR="000536BD" w:rsidRDefault="000536BD" w:rsidP="001A5682">
      <w:pPr>
        <w:spacing w:before="240"/>
        <w:contextualSpacing/>
        <w:jc w:val="both"/>
      </w:pPr>
    </w:p>
    <w:p w:rsidR="000536BD" w:rsidRDefault="000536BD" w:rsidP="001A5682">
      <w:pPr>
        <w:spacing w:before="240"/>
        <w:contextualSpacing/>
        <w:jc w:val="both"/>
      </w:pPr>
      <w:r>
        <w:t xml:space="preserve">г. Москва                                                              </w:t>
      </w:r>
      <w:r w:rsidR="00CA2033">
        <w:tab/>
      </w:r>
      <w:r w:rsidR="00F90DB6">
        <w:t xml:space="preserve">            </w:t>
      </w:r>
      <w:r w:rsidR="008D76FC">
        <w:t xml:space="preserve">             </w:t>
      </w:r>
      <w:r>
        <w:t>6 октября 2016 г</w:t>
      </w:r>
      <w:r w:rsidR="00DE7D0A">
        <w:t>ода</w:t>
      </w:r>
    </w:p>
    <w:p w:rsidR="00DE7D0A" w:rsidRDefault="00DE7D0A" w:rsidP="006056F8">
      <w:pPr>
        <w:spacing w:before="240"/>
        <w:contextualSpacing/>
        <w:jc w:val="both"/>
      </w:pPr>
    </w:p>
    <w:p w:rsidR="00CA2033" w:rsidRPr="001A5682" w:rsidRDefault="00CA2033" w:rsidP="006056F8">
      <w:pPr>
        <w:pStyle w:val="aa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A5682">
        <w:rPr>
          <w:bCs/>
          <w:color w:val="000000"/>
          <w:sz w:val="28"/>
          <w:szCs w:val="28"/>
        </w:rPr>
        <w:t xml:space="preserve">6 октября в РСПП </w:t>
      </w:r>
      <w:r w:rsidR="0096567C">
        <w:rPr>
          <w:bCs/>
          <w:color w:val="000000"/>
          <w:sz w:val="28"/>
          <w:szCs w:val="28"/>
        </w:rPr>
        <w:t>состоялась</w:t>
      </w:r>
      <w:r w:rsidRPr="001A5682">
        <w:rPr>
          <w:bCs/>
          <w:color w:val="000000"/>
          <w:sz w:val="28"/>
          <w:szCs w:val="28"/>
        </w:rPr>
        <w:t xml:space="preserve"> </w:t>
      </w:r>
      <w:r w:rsidR="001A5682" w:rsidRPr="001A5682">
        <w:rPr>
          <w:bCs/>
          <w:color w:val="000000"/>
          <w:sz w:val="28"/>
          <w:szCs w:val="28"/>
        </w:rPr>
        <w:t>К</w:t>
      </w:r>
      <w:r w:rsidRPr="001A5682">
        <w:rPr>
          <w:bCs/>
          <w:color w:val="000000"/>
          <w:sz w:val="28"/>
          <w:szCs w:val="28"/>
        </w:rPr>
        <w:t>онференция, посвященная реализации поручения Президента РФ по итогам Государственного совета Российской Федерации 17 мая 2016 года по приведению в соответствие с современными требованиями документов технического регули</w:t>
      </w:r>
      <w:r w:rsidR="006056F8">
        <w:rPr>
          <w:bCs/>
          <w:color w:val="000000"/>
          <w:sz w:val="28"/>
          <w:szCs w:val="28"/>
        </w:rPr>
        <w:t>рования в сфере строительства с </w:t>
      </w:r>
      <w:r w:rsidRPr="001A5682">
        <w:rPr>
          <w:bCs/>
          <w:color w:val="000000"/>
          <w:sz w:val="28"/>
          <w:szCs w:val="28"/>
        </w:rPr>
        <w:t>учетом гармонизации отечественных и международных стандартов и лучших мировых практик.</w:t>
      </w:r>
    </w:p>
    <w:p w:rsidR="00CA2033" w:rsidRPr="001A5682" w:rsidRDefault="00CA2033" w:rsidP="006056F8">
      <w:pPr>
        <w:pStyle w:val="aa"/>
        <w:spacing w:before="0" w:beforeAutospacing="0" w:after="67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A5682">
        <w:rPr>
          <w:color w:val="000000"/>
          <w:sz w:val="28"/>
          <w:szCs w:val="28"/>
        </w:rPr>
        <w:t xml:space="preserve">Конференция организована Национальным объединением изыскателей и проектировщиков (НОПРИЗ) совместно с Национальным объединением строителей (НОСТРОЙ), Советом по техническому регулированию и стандартизации при Минпромторге России, Комитетом </w:t>
      </w:r>
      <w:r w:rsidR="009B68B5" w:rsidRPr="001A5682">
        <w:rPr>
          <w:color w:val="000000"/>
          <w:sz w:val="28"/>
          <w:szCs w:val="28"/>
        </w:rPr>
        <w:t xml:space="preserve">РСПП </w:t>
      </w:r>
      <w:r w:rsidRPr="001A5682">
        <w:rPr>
          <w:color w:val="000000"/>
          <w:sz w:val="28"/>
          <w:szCs w:val="28"/>
        </w:rPr>
        <w:t>по техническому регулированию, стандартизации и оценке соответствия и Комитетом</w:t>
      </w:r>
      <w:r w:rsidR="009B68B5" w:rsidRPr="009B68B5">
        <w:rPr>
          <w:color w:val="000000"/>
          <w:sz w:val="28"/>
          <w:szCs w:val="28"/>
        </w:rPr>
        <w:t xml:space="preserve"> </w:t>
      </w:r>
      <w:r w:rsidR="009B68B5" w:rsidRPr="001A5682">
        <w:rPr>
          <w:color w:val="000000"/>
          <w:sz w:val="28"/>
          <w:szCs w:val="28"/>
        </w:rPr>
        <w:t>ТПП РФ</w:t>
      </w:r>
      <w:r w:rsidR="006056F8">
        <w:rPr>
          <w:color w:val="000000"/>
          <w:sz w:val="28"/>
          <w:szCs w:val="28"/>
        </w:rPr>
        <w:t xml:space="preserve"> по </w:t>
      </w:r>
      <w:r w:rsidRPr="001A5682">
        <w:rPr>
          <w:color w:val="000000"/>
          <w:sz w:val="28"/>
          <w:szCs w:val="28"/>
        </w:rPr>
        <w:t>техническому регулированию, стандартизации и качеству продукции.</w:t>
      </w:r>
    </w:p>
    <w:p w:rsidR="00CA2033" w:rsidRPr="001A5682" w:rsidRDefault="00CA2033" w:rsidP="006056F8">
      <w:pPr>
        <w:pStyle w:val="aa"/>
        <w:spacing w:before="0" w:beforeAutospacing="0" w:after="67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A5682">
        <w:rPr>
          <w:color w:val="000000"/>
          <w:sz w:val="28"/>
          <w:szCs w:val="28"/>
        </w:rPr>
        <w:t xml:space="preserve">В работе конференции приняли участие более 120 экспертов, в том числе: представители Минпромторга России, Минэкономразвития России, Минтранса России, Минобороны России, МЧС России, Росстандарта, Роспотребнадзора, Евразийской экономической комиссии, Департамента </w:t>
      </w:r>
      <w:r w:rsidRPr="00BB368A">
        <w:rPr>
          <w:sz w:val="28"/>
          <w:szCs w:val="28"/>
        </w:rPr>
        <w:t>строительства г.</w:t>
      </w:r>
      <w:r w:rsidR="006056F8">
        <w:rPr>
          <w:sz w:val="28"/>
          <w:szCs w:val="28"/>
        </w:rPr>
        <w:t> </w:t>
      </w:r>
      <w:r w:rsidRPr="00BB368A">
        <w:rPr>
          <w:sz w:val="28"/>
          <w:szCs w:val="28"/>
        </w:rPr>
        <w:t xml:space="preserve">Москвы, </w:t>
      </w:r>
      <w:r w:rsidR="00E1404C" w:rsidRPr="00BB368A">
        <w:rPr>
          <w:sz w:val="28"/>
          <w:szCs w:val="28"/>
        </w:rPr>
        <w:t xml:space="preserve">НИУ МГСУ, </w:t>
      </w:r>
      <w:r w:rsidRPr="00BB368A">
        <w:rPr>
          <w:sz w:val="28"/>
          <w:szCs w:val="28"/>
        </w:rPr>
        <w:t>представители Российского союза</w:t>
      </w:r>
      <w:r w:rsidRPr="001A5682">
        <w:rPr>
          <w:color w:val="000000"/>
          <w:sz w:val="28"/>
          <w:szCs w:val="28"/>
        </w:rPr>
        <w:t xml:space="preserve"> строителей, Союза архитекторов России, Российской академии архитектуры и строительных наук, Национального объединения строительной индустрии, Союза проектировщиков России, Национальной палаты инженеров и других профессиональных организаций строителей и производителей строительных материалов, представители госкорпораций и госкомпаний, ведущих национальных и транснациональных компаний, научных и общественных организаций.</w:t>
      </w:r>
    </w:p>
    <w:p w:rsidR="002D50B1" w:rsidRPr="001A5682" w:rsidRDefault="000536BD" w:rsidP="001A5682">
      <w:pPr>
        <w:spacing w:before="120" w:after="120"/>
        <w:ind w:firstLine="709"/>
        <w:jc w:val="both"/>
      </w:pPr>
      <w:r w:rsidRPr="001A5682">
        <w:t xml:space="preserve">Участники </w:t>
      </w:r>
      <w:r w:rsidR="006B7B42" w:rsidRPr="001A5682">
        <w:t xml:space="preserve">совместной </w:t>
      </w:r>
      <w:r w:rsidRPr="001A5682">
        <w:t>Конференции отме</w:t>
      </w:r>
      <w:r w:rsidR="00CA2033" w:rsidRPr="001A5682">
        <w:t>тили</w:t>
      </w:r>
      <w:r w:rsidR="002D50B1" w:rsidRPr="001A5682">
        <w:t>, что по итогам заседания Государственного совета Российской Федерации, состоявшегося 17 мая 2016 г</w:t>
      </w:r>
      <w:r w:rsidR="00DE7D0A" w:rsidRPr="001A5682">
        <w:t>ода</w:t>
      </w:r>
      <w:r w:rsidR="002D50B1" w:rsidRPr="001A5682">
        <w:t>, Президент Российской Федерации В.В.</w:t>
      </w:r>
      <w:r w:rsidR="00DE7D0A" w:rsidRPr="001A5682">
        <w:t> </w:t>
      </w:r>
      <w:r w:rsidR="002D50B1" w:rsidRPr="001A5682">
        <w:t xml:space="preserve">Путин поручил Правительству Российской Федерации с привлечением национальных объединений саморегулируемых организаций в сфере архитектурно-строительного </w:t>
      </w:r>
      <w:r w:rsidR="002D50B1" w:rsidRPr="001A5682">
        <w:lastRenderedPageBreak/>
        <w:t>проектирования и строител</w:t>
      </w:r>
      <w:r w:rsidR="00DE7D0A" w:rsidRPr="001A5682">
        <w:t>ьства привести в соответствие с </w:t>
      </w:r>
      <w:r w:rsidR="002D50B1" w:rsidRPr="001A5682">
        <w:t>современными требованиями докумен</w:t>
      </w:r>
      <w:r w:rsidR="00DE7D0A" w:rsidRPr="001A5682">
        <w:t>ты технического регулирования в </w:t>
      </w:r>
      <w:r w:rsidR="006056F8">
        <w:t>сфере строительства, в </w:t>
      </w:r>
      <w:r w:rsidR="002D50B1" w:rsidRPr="001A5682">
        <w:t xml:space="preserve">том числе принять меры по гармонизации отечественных и международных стандартов с учетом лучших мировых практик (от 11 </w:t>
      </w:r>
      <w:r w:rsidR="00DE7D0A" w:rsidRPr="001A5682">
        <w:t>июня</w:t>
      </w:r>
      <w:r w:rsidR="002D50B1" w:rsidRPr="001A5682">
        <w:t xml:space="preserve"> 2016 г</w:t>
      </w:r>
      <w:r w:rsidR="00DE7D0A" w:rsidRPr="001A5682">
        <w:t>ода</w:t>
      </w:r>
      <w:r w:rsidR="002D50B1" w:rsidRPr="001A5682">
        <w:t xml:space="preserve"> </w:t>
      </w:r>
      <w:r w:rsidR="006056F8">
        <w:br/>
      </w:r>
      <w:r w:rsidR="002D50B1" w:rsidRPr="001A5682">
        <w:t xml:space="preserve">№ </w:t>
      </w:r>
      <w:r w:rsidR="00DE7D0A" w:rsidRPr="001A5682">
        <w:t>Пр-1138ГС</w:t>
      </w:r>
      <w:r w:rsidR="002D50B1" w:rsidRPr="001A5682">
        <w:t>, подпункт «в» пункта 2).</w:t>
      </w:r>
    </w:p>
    <w:p w:rsidR="002D50B1" w:rsidRPr="001A5682" w:rsidRDefault="002D50B1" w:rsidP="001A5682">
      <w:pPr>
        <w:spacing w:before="120" w:after="120"/>
        <w:ind w:firstLine="709"/>
        <w:jc w:val="both"/>
      </w:pPr>
      <w:r w:rsidRPr="001A5682">
        <w:t>Исполнение данного поручения Председатель Правительства Российской Федерации Д.А.</w:t>
      </w:r>
      <w:r w:rsidR="00DE7D0A" w:rsidRPr="001A5682">
        <w:t> </w:t>
      </w:r>
      <w:r w:rsidRPr="001A5682">
        <w:t>Медведев возложил на Минстрой России, Минпромторг России, Роспотребнадзор, Минтранс России, МЧС России, Минэкономразвития России, Минюст России совместно с национальными объединениями саморегулируемых организаций в сфере архитектурно-строительного проектирования и строительства.</w:t>
      </w:r>
    </w:p>
    <w:p w:rsidR="002D50B1" w:rsidRPr="001A5682" w:rsidRDefault="002D50B1" w:rsidP="001A5682">
      <w:pPr>
        <w:spacing w:before="120" w:after="120"/>
        <w:ind w:firstLine="709"/>
        <w:jc w:val="both"/>
      </w:pPr>
      <w:r w:rsidRPr="006B688C">
        <w:t xml:space="preserve">Срок проведения </w:t>
      </w:r>
      <w:r w:rsidR="0031157C" w:rsidRPr="006B688C">
        <w:t xml:space="preserve">Конференции </w:t>
      </w:r>
      <w:r w:rsidR="006B688C" w:rsidRPr="006B688C">
        <w:t xml:space="preserve">был определен в соответствии со сроком </w:t>
      </w:r>
      <w:r w:rsidRPr="006B688C">
        <w:t>представления в Правительство Российской Федерации проекта</w:t>
      </w:r>
      <w:r w:rsidRPr="001A5682">
        <w:t xml:space="preserve"> первого доклада (13 октября 2016 г</w:t>
      </w:r>
      <w:r w:rsidR="00DE7D0A" w:rsidRPr="001A5682">
        <w:t>ода</w:t>
      </w:r>
      <w:r w:rsidRPr="001A5682">
        <w:t xml:space="preserve">) и </w:t>
      </w:r>
      <w:r w:rsidR="006B7B42" w:rsidRPr="001A5682">
        <w:t xml:space="preserve">последующего доклада </w:t>
      </w:r>
      <w:r w:rsidR="007133AD" w:rsidRPr="001A5682">
        <w:t>Президенту Российской Федерации В.В.</w:t>
      </w:r>
      <w:r w:rsidR="00DE7D0A" w:rsidRPr="001A5682">
        <w:t> </w:t>
      </w:r>
      <w:r w:rsidR="007133AD" w:rsidRPr="001A5682">
        <w:t>Путину (до 1 ноября 2016 г</w:t>
      </w:r>
      <w:r w:rsidR="00DE7D0A" w:rsidRPr="001A5682">
        <w:t>ода</w:t>
      </w:r>
      <w:r w:rsidR="007133AD" w:rsidRPr="001A5682">
        <w:t>).</w:t>
      </w:r>
    </w:p>
    <w:p w:rsidR="00A9131C" w:rsidRDefault="004D3F07" w:rsidP="001A5682">
      <w:pPr>
        <w:spacing w:before="120" w:after="120"/>
        <w:ind w:firstLine="709"/>
        <w:jc w:val="both"/>
      </w:pPr>
      <w:r w:rsidRPr="001A5682">
        <w:t>Н</w:t>
      </w:r>
      <w:r w:rsidR="00FF079C" w:rsidRPr="001A5682">
        <w:t xml:space="preserve">а Конференции состоялось заинтересованное </w:t>
      </w:r>
      <w:r w:rsidR="006B688C">
        <w:t xml:space="preserve">обсуждение </w:t>
      </w:r>
      <w:r w:rsidR="00F55824" w:rsidRPr="001A5682">
        <w:t xml:space="preserve">современного </w:t>
      </w:r>
      <w:r w:rsidR="00FF079C" w:rsidRPr="001A5682">
        <w:t xml:space="preserve">состояния </w:t>
      </w:r>
      <w:r w:rsidR="00096DF5" w:rsidRPr="001A5682">
        <w:t xml:space="preserve">системы </w:t>
      </w:r>
      <w:r w:rsidR="00FF079C" w:rsidRPr="001A5682">
        <w:t>технического нормирования и регулирования</w:t>
      </w:r>
      <w:r w:rsidR="00096DF5" w:rsidRPr="001A5682">
        <w:t xml:space="preserve"> в сфере строительства в </w:t>
      </w:r>
      <w:r w:rsidR="00F55824" w:rsidRPr="001A5682">
        <w:t xml:space="preserve">Российской Федерации, </w:t>
      </w:r>
      <w:r w:rsidR="00426886" w:rsidRPr="001A5682">
        <w:t>обсуж</w:t>
      </w:r>
      <w:r w:rsidR="00605DAB" w:rsidRPr="001A5682">
        <w:t>д</w:t>
      </w:r>
      <w:r w:rsidR="00426886" w:rsidRPr="001A5682">
        <w:t xml:space="preserve">ение </w:t>
      </w:r>
      <w:r w:rsidR="00F55824" w:rsidRPr="001A5682">
        <w:t>предложений</w:t>
      </w:r>
      <w:r w:rsidR="00BB368A">
        <w:t xml:space="preserve"> </w:t>
      </w:r>
      <w:r w:rsidR="00F55824" w:rsidRPr="001A5682">
        <w:t>профессионального строительного сообщества</w:t>
      </w:r>
      <w:r w:rsidR="00EE0C40" w:rsidRPr="001A5682">
        <w:t xml:space="preserve"> по приведению документов технического регулирования в сфере строительства</w:t>
      </w:r>
      <w:r w:rsidR="00BB368A">
        <w:t xml:space="preserve"> </w:t>
      </w:r>
      <w:r w:rsidR="00EE0C40" w:rsidRPr="001A5682">
        <w:t>в со</w:t>
      </w:r>
      <w:r w:rsidR="006056F8">
        <w:t>ответствие с </w:t>
      </w:r>
      <w:r w:rsidR="00EE0C40" w:rsidRPr="001A5682">
        <w:t>современными требованиями</w:t>
      </w:r>
      <w:r w:rsidR="00CA2033" w:rsidRPr="001A5682">
        <w:t>, механизмам</w:t>
      </w:r>
      <w:r w:rsidR="00EE0C40" w:rsidRPr="001A5682">
        <w:t xml:space="preserve"> гармонизации отечественн</w:t>
      </w:r>
      <w:r w:rsidR="00096DF5" w:rsidRPr="001A5682">
        <w:t>ых и международных стандартов с </w:t>
      </w:r>
      <w:r w:rsidR="00EE0C40" w:rsidRPr="001A5682">
        <w:t xml:space="preserve">учетом </w:t>
      </w:r>
      <w:r w:rsidR="00CA2033" w:rsidRPr="001A5682">
        <w:t>международной (европейской) практики</w:t>
      </w:r>
      <w:r w:rsidR="00426886" w:rsidRPr="001A5682">
        <w:t>,</w:t>
      </w:r>
      <w:r w:rsidR="00CA2033" w:rsidRPr="001A5682">
        <w:t xml:space="preserve"> а также практики государств-участников Евразийского экономического союза</w:t>
      </w:r>
      <w:r w:rsidR="00000B8A" w:rsidRPr="001A5682">
        <w:t xml:space="preserve"> (ЕАЭС)</w:t>
      </w:r>
      <w:r w:rsidR="00CA2033" w:rsidRPr="001A5682">
        <w:t>.</w:t>
      </w:r>
      <w:r w:rsidR="00000B8A" w:rsidRPr="001A5682">
        <w:t xml:space="preserve"> Большое внимание участники конференции уделили</w:t>
      </w:r>
      <w:r w:rsidR="0086481F" w:rsidRPr="001A5682">
        <w:t xml:space="preserve"> вопрос</w:t>
      </w:r>
      <w:r w:rsidR="00000B8A" w:rsidRPr="001A5682">
        <w:t>ам</w:t>
      </w:r>
      <w:r w:rsidR="00BB368A">
        <w:t xml:space="preserve"> </w:t>
      </w:r>
      <w:r w:rsidR="00426886" w:rsidRPr="001A5682">
        <w:t>взаимодействия</w:t>
      </w:r>
      <w:r w:rsidR="00096DF5" w:rsidRPr="001A5682">
        <w:t xml:space="preserve"> в </w:t>
      </w:r>
      <w:r w:rsidR="00000B8A" w:rsidRPr="001A5682">
        <w:t>работах</w:t>
      </w:r>
      <w:r w:rsidR="00EE0C40" w:rsidRPr="001A5682">
        <w:t xml:space="preserve"> по</w:t>
      </w:r>
      <w:r w:rsidR="000A5980" w:rsidRPr="001A5682">
        <w:t xml:space="preserve"> реформированию системы</w:t>
      </w:r>
      <w:r w:rsidR="00BB368A">
        <w:t xml:space="preserve"> </w:t>
      </w:r>
      <w:r w:rsidR="00096DF5" w:rsidRPr="001A5682">
        <w:t>технического нормирования и </w:t>
      </w:r>
      <w:r w:rsidR="00426886" w:rsidRPr="001A5682">
        <w:t>регулирования в сфере строительства государственны</w:t>
      </w:r>
      <w:r w:rsidR="00000B8A" w:rsidRPr="001A5682">
        <w:t>х</w:t>
      </w:r>
      <w:r w:rsidR="00426886" w:rsidRPr="001A5682">
        <w:t xml:space="preserve"> орган</w:t>
      </w:r>
      <w:r w:rsidR="00000B8A" w:rsidRPr="001A5682">
        <w:t xml:space="preserve">ов </w:t>
      </w:r>
      <w:r w:rsidR="00426886" w:rsidRPr="001A5682">
        <w:t>и</w:t>
      </w:r>
      <w:r w:rsidR="00096DF5" w:rsidRPr="001A5682">
        <w:t> </w:t>
      </w:r>
      <w:r w:rsidR="00426886" w:rsidRPr="001A5682">
        <w:t>национальны</w:t>
      </w:r>
      <w:r w:rsidR="00000B8A" w:rsidRPr="001A5682">
        <w:t>х</w:t>
      </w:r>
      <w:r w:rsidR="00426886" w:rsidRPr="001A5682">
        <w:t xml:space="preserve"> объединени</w:t>
      </w:r>
      <w:r w:rsidR="00000B8A" w:rsidRPr="001A5682">
        <w:t>й</w:t>
      </w:r>
      <w:r w:rsidR="00426886" w:rsidRPr="001A5682">
        <w:t xml:space="preserve"> саморегулируемых организаций</w:t>
      </w:r>
      <w:r w:rsidR="00000B8A" w:rsidRPr="001A5682">
        <w:t>, а также</w:t>
      </w:r>
      <w:r w:rsidR="006056F8">
        <w:t xml:space="preserve"> </w:t>
      </w:r>
      <w:r w:rsidR="00000B8A" w:rsidRPr="001A5682">
        <w:t xml:space="preserve">механизмам использования при проведении этих работ </w:t>
      </w:r>
      <w:r w:rsidR="0086481F" w:rsidRPr="001A5682">
        <w:t xml:space="preserve">потенциала </w:t>
      </w:r>
      <w:r w:rsidR="00000B8A" w:rsidRPr="001A5682">
        <w:t xml:space="preserve">профессионального </w:t>
      </w:r>
      <w:r w:rsidR="0086481F" w:rsidRPr="001A5682">
        <w:t xml:space="preserve">строительного </w:t>
      </w:r>
      <w:r w:rsidR="00A9131C" w:rsidRPr="001A5682">
        <w:t>сообщества</w:t>
      </w:r>
      <w:r w:rsidR="00426886" w:rsidRPr="001A5682">
        <w:t>.</w:t>
      </w:r>
    </w:p>
    <w:p w:rsidR="007A40CA" w:rsidRPr="007A40CA" w:rsidRDefault="007A40CA" w:rsidP="007A40CA">
      <w:pPr>
        <w:spacing w:before="120" w:after="120"/>
        <w:ind w:firstLine="709"/>
        <w:jc w:val="both"/>
      </w:pPr>
      <w:r w:rsidRPr="007A40CA">
        <w:t xml:space="preserve">Было также отмечено, что несмотря на определенную работу, проводимую Минстроем России в области технического нормирования и регулирования, система технического нормирования и регулирования в строительстве все еще не является эффективным </w:t>
      </w:r>
      <w:r w:rsidR="008D76FC">
        <w:t>инструментом</w:t>
      </w:r>
      <w:r w:rsidRPr="007A40CA">
        <w:t xml:space="preserve"> регулирования, способствующим инновационному развитию отрасли.</w:t>
      </w:r>
    </w:p>
    <w:p w:rsidR="007A40CA" w:rsidRPr="007A40CA" w:rsidRDefault="007A40CA" w:rsidP="007A40CA">
      <w:pPr>
        <w:spacing w:before="120" w:after="120"/>
        <w:ind w:firstLine="709"/>
        <w:jc w:val="both"/>
      </w:pPr>
      <w:r w:rsidRPr="007A40CA">
        <w:lastRenderedPageBreak/>
        <w:t xml:space="preserve">По итогам обсуждения состояния и направлений совершенствования отраслевой системы технического нормирования и регулирования </w:t>
      </w:r>
      <w:r w:rsidRPr="007A40CA">
        <w:rPr>
          <w:b/>
        </w:rPr>
        <w:t>Конференция отмечает следующее:</w:t>
      </w:r>
    </w:p>
    <w:p w:rsidR="0071755B" w:rsidRDefault="00A9131C" w:rsidP="001A5682">
      <w:pPr>
        <w:pStyle w:val="a7"/>
        <w:numPr>
          <w:ilvl w:val="1"/>
          <w:numId w:val="2"/>
        </w:numPr>
        <w:tabs>
          <w:tab w:val="left" w:pos="1134"/>
        </w:tabs>
        <w:spacing w:before="120" w:after="120"/>
        <w:ind w:left="0" w:firstLine="709"/>
        <w:contextualSpacing w:val="0"/>
        <w:jc w:val="both"/>
      </w:pPr>
      <w:r w:rsidRPr="001A5682">
        <w:t>поручени</w:t>
      </w:r>
      <w:r w:rsidR="0071755B" w:rsidRPr="001A5682">
        <w:t>е</w:t>
      </w:r>
      <w:r w:rsidR="008F5351">
        <w:t xml:space="preserve"> </w:t>
      </w:r>
      <w:r w:rsidRPr="001A5682">
        <w:t xml:space="preserve">Президента Российской Федерации </w:t>
      </w:r>
      <w:r w:rsidR="00294E6F" w:rsidRPr="001A5682">
        <w:t>(по итогам Государственного совета</w:t>
      </w:r>
      <w:r w:rsidR="00AF4E78" w:rsidRPr="001A5682">
        <w:t>, состоявшегося 17 мая 2016 года</w:t>
      </w:r>
      <w:r w:rsidR="00294E6F" w:rsidRPr="001A5682">
        <w:t xml:space="preserve">) </w:t>
      </w:r>
      <w:r w:rsidRPr="001A5682">
        <w:t xml:space="preserve">по вопросам технического регулирования в сфере строительства </w:t>
      </w:r>
      <w:r w:rsidR="0071755B" w:rsidRPr="001A5682">
        <w:t xml:space="preserve">позволяет консолидировать усилия </w:t>
      </w:r>
      <w:r w:rsidR="004D3F07" w:rsidRPr="001A5682">
        <w:t>заинтересован</w:t>
      </w:r>
      <w:r w:rsidR="0071755B" w:rsidRPr="001A5682">
        <w:t>ных федеральных органов исполнительной власти</w:t>
      </w:r>
      <w:r w:rsidR="00B06336" w:rsidRPr="001A5682">
        <w:t xml:space="preserve"> и </w:t>
      </w:r>
      <w:r w:rsidR="004D3F07" w:rsidRPr="001A5682">
        <w:t xml:space="preserve">профессионального сообщества </w:t>
      </w:r>
      <w:r w:rsidR="00096DF5" w:rsidRPr="001A5682">
        <w:t>при </w:t>
      </w:r>
      <w:r w:rsidR="0071755B" w:rsidRPr="001A5682">
        <w:t>организации работ по совершенствованию системы технического нормирования и регулирования в сфере строительства;</w:t>
      </w:r>
    </w:p>
    <w:p w:rsidR="00A663EF" w:rsidRPr="001A5682" w:rsidRDefault="00A663EF" w:rsidP="001A5682">
      <w:pPr>
        <w:pStyle w:val="a7"/>
        <w:numPr>
          <w:ilvl w:val="1"/>
          <w:numId w:val="2"/>
        </w:numPr>
        <w:tabs>
          <w:tab w:val="left" w:pos="1134"/>
        </w:tabs>
        <w:spacing w:before="120" w:after="120"/>
        <w:ind w:left="0" w:firstLine="709"/>
        <w:contextualSpacing w:val="0"/>
        <w:jc w:val="both"/>
      </w:pPr>
      <w:r>
        <w:t xml:space="preserve">важнейшей целью совершенствования систем технического нормирования и регулирования в строительной отрасли является сокращение сроков и упрощение </w:t>
      </w:r>
      <w:r w:rsidR="002F564C">
        <w:t xml:space="preserve">процедуры </w:t>
      </w:r>
      <w:r>
        <w:t>внедрения инноваций при безусловном соблюдении требований безопасности объектов капитального строительства;</w:t>
      </w:r>
    </w:p>
    <w:p w:rsidR="00B06336" w:rsidRPr="008F5351" w:rsidRDefault="00096DF5" w:rsidP="001A5682">
      <w:pPr>
        <w:pStyle w:val="a7"/>
        <w:numPr>
          <w:ilvl w:val="1"/>
          <w:numId w:val="2"/>
        </w:numPr>
        <w:tabs>
          <w:tab w:val="left" w:pos="1134"/>
        </w:tabs>
        <w:spacing w:before="120" w:after="120"/>
        <w:ind w:left="0" w:firstLine="709"/>
        <w:contextualSpacing w:val="0"/>
        <w:jc w:val="both"/>
      </w:pPr>
      <w:r w:rsidRPr="001A5682">
        <w:t>в </w:t>
      </w:r>
      <w:r w:rsidR="0071755B" w:rsidRPr="001A5682">
        <w:t xml:space="preserve">настоящее время </w:t>
      </w:r>
      <w:r w:rsidR="00294E6F" w:rsidRPr="001A5682">
        <w:t>отсутству</w:t>
      </w:r>
      <w:r w:rsidR="00315C27" w:rsidRPr="001A5682">
        <w:t>ют</w:t>
      </w:r>
      <w:r w:rsidR="00294E6F" w:rsidRPr="001A5682">
        <w:t xml:space="preserve"> системны</w:t>
      </w:r>
      <w:r w:rsidR="00315C27" w:rsidRPr="001A5682">
        <w:t>е</w:t>
      </w:r>
      <w:r w:rsidR="00294E6F" w:rsidRPr="001A5682">
        <w:t xml:space="preserve"> подход</w:t>
      </w:r>
      <w:r w:rsidR="00315C27" w:rsidRPr="001A5682">
        <w:t>ы</w:t>
      </w:r>
      <w:r w:rsidR="00294E6F" w:rsidRPr="001A5682">
        <w:t xml:space="preserve"> в работ</w:t>
      </w:r>
      <w:r w:rsidR="006056F8">
        <w:t>ах по </w:t>
      </w:r>
      <w:r w:rsidR="00B06336" w:rsidRPr="001A5682">
        <w:t>техническому нормированию и регулированию в строительстве</w:t>
      </w:r>
      <w:r w:rsidR="00315C27" w:rsidRPr="001A5682">
        <w:t>, н</w:t>
      </w:r>
      <w:r w:rsidR="00294E6F" w:rsidRPr="001A5682">
        <w:t>едостаточно организовано межведомственное взаимодействие</w:t>
      </w:r>
      <w:r w:rsidR="00315C27" w:rsidRPr="001A5682">
        <w:t xml:space="preserve"> в этой </w:t>
      </w:r>
      <w:r w:rsidR="00315C27" w:rsidRPr="008F5351">
        <w:t>области</w:t>
      </w:r>
      <w:r w:rsidR="00F84D02" w:rsidRPr="008F5351">
        <w:t xml:space="preserve">. В этих условиях крайне необходима подготовка документа, предусматривающего пути совершенствования системы технического </w:t>
      </w:r>
      <w:r w:rsidR="008F5351" w:rsidRPr="008F5351">
        <w:t xml:space="preserve">нормирования и </w:t>
      </w:r>
      <w:r w:rsidR="00F84D02" w:rsidRPr="008F5351">
        <w:t>регулирования</w:t>
      </w:r>
      <w:r w:rsidR="006056F8">
        <w:t xml:space="preserve"> на </w:t>
      </w:r>
      <w:r w:rsidR="007E2F13" w:rsidRPr="008F5351">
        <w:t>краткосрочную и среднесрочную перспективу</w:t>
      </w:r>
      <w:r w:rsidR="00315C27" w:rsidRPr="008F5351">
        <w:t>;</w:t>
      </w:r>
    </w:p>
    <w:p w:rsidR="00F75A94" w:rsidRPr="001A5682" w:rsidRDefault="00F75A94" w:rsidP="001A5682">
      <w:pPr>
        <w:pStyle w:val="a7"/>
        <w:numPr>
          <w:ilvl w:val="1"/>
          <w:numId w:val="2"/>
        </w:numPr>
        <w:tabs>
          <w:tab w:val="left" w:pos="1134"/>
        </w:tabs>
        <w:spacing w:before="120" w:after="120"/>
        <w:ind w:left="0" w:firstLine="709"/>
        <w:contextualSpacing w:val="0"/>
        <w:jc w:val="both"/>
      </w:pPr>
      <w:r w:rsidRPr="001A5682">
        <w:t>структура и состав нормативно-технических документов в сфере строительства</w:t>
      </w:r>
      <w:r w:rsidR="00A663EF">
        <w:t xml:space="preserve"> (более 100 видов документов)</w:t>
      </w:r>
      <w:r w:rsidRPr="001A5682">
        <w:t xml:space="preserve"> требуют приве</w:t>
      </w:r>
      <w:r w:rsidR="006056F8">
        <w:t>дения в соответствие с </w:t>
      </w:r>
      <w:r w:rsidRPr="001A5682">
        <w:t>действующим законодательством и рыночными условиями, с учетом отраслевых и территориальных особенностей Российской Федерации;</w:t>
      </w:r>
    </w:p>
    <w:p w:rsidR="00294E6F" w:rsidRDefault="002F0EF1" w:rsidP="001A5682">
      <w:pPr>
        <w:pStyle w:val="a7"/>
        <w:numPr>
          <w:ilvl w:val="1"/>
          <w:numId w:val="2"/>
        </w:numPr>
        <w:tabs>
          <w:tab w:val="left" w:pos="1134"/>
        </w:tabs>
        <w:spacing w:before="120" w:after="120"/>
        <w:ind w:left="0" w:firstLine="709"/>
        <w:contextualSpacing w:val="0"/>
        <w:jc w:val="both"/>
      </w:pPr>
      <w:r w:rsidRPr="001A5682">
        <w:t xml:space="preserve">порядок разработки и принятия </w:t>
      </w:r>
      <w:r w:rsidR="00F75A94" w:rsidRPr="001A5682">
        <w:t xml:space="preserve">нормативно-технических документов </w:t>
      </w:r>
      <w:r w:rsidR="006056F8">
        <w:t>в </w:t>
      </w:r>
      <w:r w:rsidRPr="001A5682">
        <w:t xml:space="preserve">сфере </w:t>
      </w:r>
      <w:r w:rsidR="00F75A94" w:rsidRPr="001A5682">
        <w:t>строительства</w:t>
      </w:r>
      <w:r w:rsidRPr="001A5682">
        <w:t xml:space="preserve"> требует </w:t>
      </w:r>
      <w:r w:rsidR="00F75A94" w:rsidRPr="001A5682">
        <w:t>обеспечения открытости и прозрачности</w:t>
      </w:r>
      <w:r w:rsidR="007D594E" w:rsidRPr="001A5682">
        <w:t xml:space="preserve"> процедур</w:t>
      </w:r>
      <w:r w:rsidR="00F75A94" w:rsidRPr="001A5682">
        <w:t xml:space="preserve">, а также необходимости </w:t>
      </w:r>
      <w:r w:rsidR="00910F65">
        <w:t>участия в них</w:t>
      </w:r>
      <w:r w:rsidR="00F75A94" w:rsidRPr="001A5682">
        <w:t xml:space="preserve"> всех заинтересованных сторон</w:t>
      </w:r>
      <w:r w:rsidR="00A663EF">
        <w:t>, прежде всего профессионального экспертного сообщества</w:t>
      </w:r>
      <w:r w:rsidR="00F75A94" w:rsidRPr="001A5682">
        <w:t>;</w:t>
      </w:r>
    </w:p>
    <w:p w:rsidR="00A663EF" w:rsidRPr="006C69E6" w:rsidRDefault="00DF67DF" w:rsidP="006C69E6">
      <w:pPr>
        <w:pStyle w:val="a7"/>
        <w:numPr>
          <w:ilvl w:val="1"/>
          <w:numId w:val="2"/>
        </w:numPr>
        <w:tabs>
          <w:tab w:val="left" w:pos="1134"/>
        </w:tabs>
        <w:spacing w:before="120" w:after="120"/>
        <w:ind w:left="0" w:firstLine="709"/>
        <w:contextualSpacing w:val="0"/>
        <w:jc w:val="both"/>
      </w:pPr>
      <w:r>
        <w:t xml:space="preserve">при разработке нормативно-технических документов в строительстве </w:t>
      </w:r>
      <w:r w:rsidR="00A663EF">
        <w:t xml:space="preserve">необходимо </w:t>
      </w:r>
      <w:r>
        <w:t xml:space="preserve">более широко </w:t>
      </w:r>
      <w:r w:rsidR="00A663EF">
        <w:t xml:space="preserve">использовать </w:t>
      </w:r>
      <w:r>
        <w:t>сов</w:t>
      </w:r>
      <w:r w:rsidR="006056F8">
        <w:t>ременные методы нормирования, в </w:t>
      </w:r>
      <w:r>
        <w:t>т.ч. параметрический метод</w:t>
      </w:r>
      <w:r w:rsidR="006C69E6">
        <w:t>,</w:t>
      </w:r>
      <w:r w:rsidR="006C69E6" w:rsidRPr="006C69E6">
        <w:rPr>
          <w:color w:val="FF0000"/>
        </w:rPr>
        <w:t xml:space="preserve"> </w:t>
      </w:r>
      <w:r w:rsidR="006C69E6" w:rsidRPr="006C69E6">
        <w:t>который  на международном уровне признан  наиболее прогрессивным и гибким мето</w:t>
      </w:r>
      <w:r w:rsidR="006056F8">
        <w:t>дом технического нормирования в </w:t>
      </w:r>
      <w:r w:rsidR="006C69E6" w:rsidRPr="006C69E6">
        <w:t>строительстве,  обеспечивающим поощрение и системное внедрение инноваций, снижение стоимости строительства и устранение</w:t>
      </w:r>
      <w:r w:rsidR="006C69E6" w:rsidRPr="006C69E6">
        <w:rPr>
          <w:color w:val="FF0000"/>
        </w:rPr>
        <w:t xml:space="preserve"> </w:t>
      </w:r>
      <w:r w:rsidR="006C69E6" w:rsidRPr="006C69E6">
        <w:t>барьеров на рынке капитала, человеческих ресурсов, продукции и профессиональных услуг в области строительства;</w:t>
      </w:r>
    </w:p>
    <w:p w:rsidR="00A004DB" w:rsidRPr="001A5682" w:rsidRDefault="00A004DB" w:rsidP="001A5682">
      <w:pPr>
        <w:pStyle w:val="a7"/>
        <w:numPr>
          <w:ilvl w:val="1"/>
          <w:numId w:val="2"/>
        </w:numPr>
        <w:tabs>
          <w:tab w:val="left" w:pos="1134"/>
        </w:tabs>
        <w:spacing w:before="120" w:after="120"/>
        <w:ind w:left="0" w:firstLine="709"/>
        <w:contextualSpacing w:val="0"/>
        <w:jc w:val="both"/>
      </w:pPr>
      <w:r w:rsidRPr="001A5682">
        <w:lastRenderedPageBreak/>
        <w:t xml:space="preserve">при разработке стандартов на строительные материалы и конструкции не учитывается </w:t>
      </w:r>
      <w:r w:rsidR="00DF67DF">
        <w:t>международный опыт</w:t>
      </w:r>
      <w:r w:rsidRPr="001A5682">
        <w:t>, позволяющий устанавливать в стандартах существенные требования к строительной продукции, обеспечивающие выполнение базовых требований к зданиям и сооружениям;</w:t>
      </w:r>
    </w:p>
    <w:p w:rsidR="00A004DB" w:rsidRPr="001A5682" w:rsidRDefault="00DF67DF" w:rsidP="001A5682">
      <w:pPr>
        <w:pStyle w:val="a7"/>
        <w:numPr>
          <w:ilvl w:val="1"/>
          <w:numId w:val="2"/>
        </w:numPr>
        <w:tabs>
          <w:tab w:val="left" w:pos="1134"/>
        </w:tabs>
        <w:spacing w:before="120" w:after="120"/>
        <w:ind w:left="0" w:firstLine="709"/>
        <w:contextualSpacing w:val="0"/>
        <w:jc w:val="both"/>
      </w:pPr>
      <w:r>
        <w:t>в целях сокращения сроков и упрощения про</w:t>
      </w:r>
      <w:r w:rsidR="00A004DB" w:rsidRPr="001A5682">
        <w:t xml:space="preserve">цедур допуска на рынок </w:t>
      </w:r>
      <w:r>
        <w:t xml:space="preserve">не стандартизованной </w:t>
      </w:r>
      <w:r w:rsidR="00A004DB" w:rsidRPr="001A5682">
        <w:t xml:space="preserve">инновационной строительной продукции </w:t>
      </w:r>
      <w:r w:rsidR="006C69E6">
        <w:t>не учитывается</w:t>
      </w:r>
      <w:r w:rsidR="00D53837" w:rsidRPr="001A5682">
        <w:t xml:space="preserve"> опыт ЕС по установлению и подтверждению требований к данной продукции;</w:t>
      </w:r>
    </w:p>
    <w:p w:rsidR="00B06336" w:rsidRDefault="00B06336" w:rsidP="001A5682">
      <w:pPr>
        <w:pStyle w:val="a7"/>
        <w:numPr>
          <w:ilvl w:val="1"/>
          <w:numId w:val="2"/>
        </w:numPr>
        <w:tabs>
          <w:tab w:val="left" w:pos="1134"/>
        </w:tabs>
        <w:spacing w:before="120" w:after="120"/>
        <w:ind w:left="0" w:firstLine="709"/>
        <w:contextualSpacing w:val="0"/>
        <w:jc w:val="both"/>
      </w:pPr>
      <w:r w:rsidRPr="001A5682">
        <w:t>отсутствует координация работы проф</w:t>
      </w:r>
      <w:r w:rsidR="006056F8">
        <w:t>ильных технических комитетов по </w:t>
      </w:r>
      <w:r w:rsidRPr="001A5682">
        <w:t>стандартизации в сфере строительства, как на этапе планирования, так и на этапе разработки и экспертизы документов по стандартизации</w:t>
      </w:r>
      <w:r w:rsidR="00A004DB" w:rsidRPr="001A5682">
        <w:t>;</w:t>
      </w:r>
    </w:p>
    <w:p w:rsidR="00A004DB" w:rsidRPr="001A5682" w:rsidRDefault="00C92E3E" w:rsidP="001A5682">
      <w:pPr>
        <w:pStyle w:val="a7"/>
        <w:numPr>
          <w:ilvl w:val="1"/>
          <w:numId w:val="2"/>
        </w:numPr>
        <w:tabs>
          <w:tab w:val="left" w:pos="1134"/>
        </w:tabs>
        <w:spacing w:before="120" w:after="120"/>
        <w:ind w:left="0" w:firstLine="709"/>
        <w:contextualSpacing w:val="0"/>
        <w:jc w:val="both"/>
      </w:pPr>
      <w:r w:rsidRPr="001A5682">
        <w:t>отсутствует четкое разграничение полномочий в области государственного контроля и надзора сфере строительства на федеральном и нижестоящем уровнях, а также между федеральными контрольно-надзорными органами;</w:t>
      </w:r>
    </w:p>
    <w:p w:rsidR="006C69E6" w:rsidRPr="00982950" w:rsidRDefault="006C69E6" w:rsidP="006C69E6">
      <w:pPr>
        <w:pStyle w:val="a7"/>
        <w:numPr>
          <w:ilvl w:val="1"/>
          <w:numId w:val="2"/>
        </w:numPr>
        <w:tabs>
          <w:tab w:val="left" w:pos="1134"/>
        </w:tabs>
        <w:spacing w:before="120" w:after="120"/>
        <w:ind w:left="0" w:firstLine="709"/>
        <w:contextualSpacing w:val="0"/>
        <w:jc w:val="both"/>
      </w:pPr>
      <w:r w:rsidRPr="00982950">
        <w:t>в отличи</w:t>
      </w:r>
      <w:r w:rsidR="006056F8" w:rsidRPr="00982950">
        <w:t>е</w:t>
      </w:r>
      <w:r w:rsidRPr="00982950">
        <w:t xml:space="preserve"> от существующей практики развитых стран мира не в полной мере учитывается мнение профессионального сообщества и</w:t>
      </w:r>
      <w:r w:rsidR="006056F8">
        <w:t xml:space="preserve"> не используется его потенциал</w:t>
      </w:r>
      <w:r w:rsidRPr="00982950">
        <w:t xml:space="preserve"> и практический опыт по вопросам нормативно-правового и нормативно-технического регулирования. Это  ведёт к отставанию отечественной отраслевой системы технического нормирования и регулирования в части применения со</w:t>
      </w:r>
      <w:r w:rsidR="006056F8">
        <w:t>временных методов нормирования,</w:t>
      </w:r>
      <w:r w:rsidRPr="00982950">
        <w:t xml:space="preserve"> механизмов оценки соответствия,</w:t>
      </w:r>
      <w:r w:rsidR="006056F8">
        <w:t xml:space="preserve"> контроля и надзора, а в целом </w:t>
      </w:r>
      <w:r w:rsidRPr="00982950">
        <w:t>становится  тормозом для инновационного развития строительной отрасли и применения новых эффективных строительных материалов, изделий и конструкций;</w:t>
      </w:r>
    </w:p>
    <w:p w:rsidR="006C69E6" w:rsidRPr="00982950" w:rsidRDefault="006C69E6" w:rsidP="006056F8">
      <w:pPr>
        <w:ind w:firstLine="709"/>
        <w:contextualSpacing/>
        <w:jc w:val="both"/>
        <w:rPr>
          <w:b/>
        </w:rPr>
      </w:pPr>
      <w:r w:rsidRPr="00982950">
        <w:t>Для решения существующих проблем с у</w:t>
      </w:r>
      <w:r w:rsidR="006056F8">
        <w:t>четом результатов дискуссии и с </w:t>
      </w:r>
      <w:r w:rsidRPr="00982950">
        <w:t>целью выполнения поручения Президента Российской Федераци</w:t>
      </w:r>
      <w:r w:rsidR="006056F8">
        <w:t>и по </w:t>
      </w:r>
      <w:r w:rsidRPr="00982950">
        <w:t xml:space="preserve">приведению в соответствие с современными требованиями документов технического регулирования в сфере строительства с учётом гармонизации отечественных и международных стандартов и лучших мировых практик </w:t>
      </w:r>
      <w:r w:rsidRPr="00982950">
        <w:rPr>
          <w:b/>
        </w:rPr>
        <w:t xml:space="preserve">Конференция </w:t>
      </w:r>
      <w:r w:rsidR="00982950" w:rsidRPr="00982950">
        <w:rPr>
          <w:b/>
        </w:rPr>
        <w:t>консолидировано приняла следующие решения</w:t>
      </w:r>
      <w:r w:rsidRPr="00982950">
        <w:rPr>
          <w:b/>
        </w:rPr>
        <w:t>:</w:t>
      </w:r>
    </w:p>
    <w:p w:rsidR="000F2B95" w:rsidRPr="008D76FC" w:rsidRDefault="000F2B95" w:rsidP="000F2B95">
      <w:pPr>
        <w:pStyle w:val="a7"/>
        <w:numPr>
          <w:ilvl w:val="1"/>
          <w:numId w:val="2"/>
        </w:numPr>
        <w:tabs>
          <w:tab w:val="left" w:pos="1134"/>
        </w:tabs>
        <w:spacing w:before="120" w:after="120"/>
        <w:ind w:left="0" w:firstLine="709"/>
        <w:contextualSpacing w:val="0"/>
        <w:jc w:val="both"/>
      </w:pPr>
      <w:r>
        <w:t xml:space="preserve">одобрить работы, проведенные Национальным объединением </w:t>
      </w:r>
      <w:r w:rsidRPr="001A5682">
        <w:rPr>
          <w:color w:val="000000"/>
          <w:szCs w:val="28"/>
        </w:rPr>
        <w:t xml:space="preserve">изыскателей и проектировщиков </w:t>
      </w:r>
      <w:r>
        <w:rPr>
          <w:color w:val="000000"/>
          <w:szCs w:val="28"/>
        </w:rPr>
        <w:t xml:space="preserve">и </w:t>
      </w:r>
      <w:r w:rsidRPr="001A5682">
        <w:rPr>
          <w:color w:val="000000"/>
          <w:szCs w:val="28"/>
        </w:rPr>
        <w:t>Национальным объединением строителей</w:t>
      </w:r>
      <w:r>
        <w:rPr>
          <w:color w:val="000000"/>
          <w:szCs w:val="28"/>
        </w:rPr>
        <w:t>,</w:t>
      </w:r>
      <w:r w:rsidR="008F5351">
        <w:rPr>
          <w:color w:val="000000"/>
          <w:szCs w:val="28"/>
        </w:rPr>
        <w:t xml:space="preserve"> </w:t>
      </w:r>
      <w:r w:rsidR="006056F8">
        <w:rPr>
          <w:color w:val="000000"/>
          <w:szCs w:val="28"/>
        </w:rPr>
        <w:t>по </w:t>
      </w:r>
      <w:r>
        <w:rPr>
          <w:color w:val="000000"/>
          <w:szCs w:val="28"/>
        </w:rPr>
        <w:t>формированию подходов и механизмов совершенствования систем технического нормирования и регулирования в строительной отрасли;</w:t>
      </w:r>
    </w:p>
    <w:p w:rsidR="008D76FC" w:rsidRPr="008D76FC" w:rsidRDefault="008D76FC" w:rsidP="008D76FC">
      <w:pPr>
        <w:pStyle w:val="a7"/>
        <w:numPr>
          <w:ilvl w:val="1"/>
          <w:numId w:val="2"/>
        </w:numPr>
        <w:tabs>
          <w:tab w:val="left" w:pos="1134"/>
        </w:tabs>
        <w:spacing w:before="120" w:after="120"/>
        <w:ind w:left="0" w:firstLine="709"/>
        <w:contextualSpacing w:val="0"/>
        <w:jc w:val="both"/>
      </w:pPr>
      <w:r w:rsidRPr="008D76FC">
        <w:t xml:space="preserve">считать, что поручение Президента Российской Федерации (от 11 июня 2016 года № Пр-1138ГС, подпункт «в» пункта 2) по вопросам технического </w:t>
      </w:r>
      <w:r w:rsidRPr="008D76FC">
        <w:lastRenderedPageBreak/>
        <w:t>регулирования в сфере строительства позволяет консолидировать усилия заинтересованных федеральных органов исполнительной власти и профессионального сообщества при организации работ по совершенствованию системы технического нормирования и регулирования в сфере строительства;</w:t>
      </w:r>
    </w:p>
    <w:p w:rsidR="008D76FC" w:rsidRDefault="008D76FC" w:rsidP="008D76FC">
      <w:pPr>
        <w:pStyle w:val="a7"/>
        <w:numPr>
          <w:ilvl w:val="1"/>
          <w:numId w:val="2"/>
        </w:numPr>
        <w:tabs>
          <w:tab w:val="left" w:pos="1134"/>
        </w:tabs>
        <w:spacing w:before="120" w:after="120"/>
        <w:ind w:left="0" w:firstLine="709"/>
        <w:contextualSpacing w:val="0"/>
        <w:jc w:val="both"/>
      </w:pPr>
      <w:r w:rsidRPr="001A5682">
        <w:t>одобрить</w:t>
      </w:r>
      <w:r>
        <w:t xml:space="preserve"> </w:t>
      </w:r>
      <w:r w:rsidRPr="001A5682">
        <w:t xml:space="preserve">проекты Концепции совершенствования системы технического нормирования и регулирования в строительной отрасли и Плана основных мероприятий </w:t>
      </w:r>
      <w:r>
        <w:t xml:space="preserve">(Дорожной карты) </w:t>
      </w:r>
      <w:r w:rsidRPr="001A5682">
        <w:t>по ее реализации;</w:t>
      </w:r>
    </w:p>
    <w:p w:rsidR="000F2B95" w:rsidRPr="001A5682" w:rsidRDefault="00B44B81" w:rsidP="000F2B95">
      <w:pPr>
        <w:pStyle w:val="a7"/>
        <w:numPr>
          <w:ilvl w:val="1"/>
          <w:numId w:val="2"/>
        </w:numPr>
        <w:tabs>
          <w:tab w:val="left" w:pos="1134"/>
        </w:tabs>
        <w:spacing w:before="120" w:after="120"/>
        <w:ind w:left="0" w:firstLine="709"/>
        <w:contextualSpacing w:val="0"/>
        <w:jc w:val="both"/>
      </w:pPr>
      <w:r w:rsidRPr="001A5682">
        <w:t>р</w:t>
      </w:r>
      <w:r w:rsidR="00951C63" w:rsidRPr="001A5682">
        <w:t xml:space="preserve">екомендовать Минстрою России </w:t>
      </w:r>
      <w:r w:rsidRPr="001A5682">
        <w:t>и</w:t>
      </w:r>
      <w:r w:rsidR="00951C63" w:rsidRPr="001A5682">
        <w:t>спользова</w:t>
      </w:r>
      <w:r w:rsidR="0007481E" w:rsidRPr="001A5682">
        <w:t>ть</w:t>
      </w:r>
      <w:r w:rsidR="00951C63" w:rsidRPr="001A5682">
        <w:t xml:space="preserve"> разработанн</w:t>
      </w:r>
      <w:r w:rsidR="0007481E" w:rsidRPr="001A5682">
        <w:t>ый</w:t>
      </w:r>
      <w:r w:rsidR="006056F8">
        <w:t xml:space="preserve"> </w:t>
      </w:r>
      <w:r w:rsidR="00951C63" w:rsidRPr="001A5682">
        <w:t>профессиональн</w:t>
      </w:r>
      <w:r w:rsidR="0007481E" w:rsidRPr="001A5682">
        <w:t>ым</w:t>
      </w:r>
      <w:r w:rsidR="00951C63" w:rsidRPr="001A5682">
        <w:t xml:space="preserve"> сообществ</w:t>
      </w:r>
      <w:r w:rsidR="0007481E" w:rsidRPr="001A5682">
        <w:t xml:space="preserve">ом </w:t>
      </w:r>
      <w:r w:rsidRPr="001A5682">
        <w:t xml:space="preserve">проект </w:t>
      </w:r>
      <w:r w:rsidR="00951C63" w:rsidRPr="001A5682">
        <w:t>Концепци</w:t>
      </w:r>
      <w:r w:rsidRPr="001A5682">
        <w:t>и</w:t>
      </w:r>
      <w:r w:rsidR="008F5351">
        <w:t xml:space="preserve"> </w:t>
      </w:r>
      <w:r w:rsidR="00951C63" w:rsidRPr="001A5682">
        <w:t xml:space="preserve">совершенствования системы технического нормирования и регулирования в строительной отрасли в качестве составной части Стратегии инновационного развития строительной отрасли </w:t>
      </w:r>
      <w:r w:rsidR="005C3CD4" w:rsidRPr="001A5682">
        <w:t xml:space="preserve">Российской Федерации на период </w:t>
      </w:r>
      <w:r w:rsidR="00951C63" w:rsidRPr="001A5682">
        <w:t>до 2030 года</w:t>
      </w:r>
      <w:r w:rsidR="000F2B95">
        <w:t xml:space="preserve">, а также при реализации </w:t>
      </w:r>
      <w:r w:rsidR="000F2B95" w:rsidRPr="001A5682">
        <w:t>поручения Президента Российской Федерации</w:t>
      </w:r>
      <w:r w:rsidR="008D76FC">
        <w:t xml:space="preserve"> </w:t>
      </w:r>
      <w:r w:rsidR="000F2B95" w:rsidRPr="001A5682">
        <w:t xml:space="preserve">(от 11 июня 2016 года </w:t>
      </w:r>
      <w:r w:rsidR="006056F8">
        <w:br/>
      </w:r>
      <w:r w:rsidR="000F2B95" w:rsidRPr="001A5682">
        <w:t>№ Пр-1138ГС, подпункт «в» пункта 2);</w:t>
      </w:r>
    </w:p>
    <w:p w:rsidR="00583715" w:rsidRPr="001A5682" w:rsidRDefault="00CE5F41" w:rsidP="001A5682">
      <w:pPr>
        <w:pStyle w:val="a7"/>
        <w:numPr>
          <w:ilvl w:val="1"/>
          <w:numId w:val="2"/>
        </w:numPr>
        <w:tabs>
          <w:tab w:val="left" w:pos="1134"/>
        </w:tabs>
        <w:spacing w:before="120" w:after="120"/>
        <w:ind w:left="0" w:firstLine="709"/>
        <w:contextualSpacing w:val="0"/>
        <w:jc w:val="both"/>
      </w:pPr>
      <w:r w:rsidRPr="001A5682">
        <w:t xml:space="preserve">совместным решением </w:t>
      </w:r>
      <w:r w:rsidR="00DE7D0A" w:rsidRPr="001A5682">
        <w:t>Совета по техническому регулированию и стандартизации при Минпромторге России, Комитета РСПП по техническому регулированию, стандартизации и оценке со</w:t>
      </w:r>
      <w:r w:rsidR="006056F8">
        <w:t>ответствия, Комитета ТПП РФ по </w:t>
      </w:r>
      <w:r w:rsidR="00DE7D0A" w:rsidRPr="001A5682">
        <w:t>техническому регулированию, стандартизации и качеству продукции</w:t>
      </w:r>
      <w:r w:rsidR="008F5351">
        <w:t xml:space="preserve"> </w:t>
      </w:r>
      <w:r w:rsidRPr="001A5682">
        <w:t xml:space="preserve">и участников Конференции </w:t>
      </w:r>
      <w:r w:rsidR="00E627B4" w:rsidRPr="001A5682">
        <w:t>направ</w:t>
      </w:r>
      <w:r w:rsidRPr="001A5682">
        <w:t>ить</w:t>
      </w:r>
      <w:r w:rsidR="00E627B4" w:rsidRPr="001A5682">
        <w:t xml:space="preserve"> материал</w:t>
      </w:r>
      <w:r w:rsidRPr="001A5682">
        <w:t>ы</w:t>
      </w:r>
      <w:r w:rsidR="00E627B4" w:rsidRPr="001A5682">
        <w:t xml:space="preserve"> Конференции</w:t>
      </w:r>
      <w:r w:rsidR="008F5351">
        <w:t xml:space="preserve"> </w:t>
      </w:r>
      <w:r w:rsidR="00902CD2">
        <w:t xml:space="preserve">в Минстрой России и </w:t>
      </w:r>
      <w:r w:rsidR="0071755B" w:rsidRPr="001A5682">
        <w:t xml:space="preserve">заинтересованным </w:t>
      </w:r>
      <w:r w:rsidR="00E627B4" w:rsidRPr="001A5682">
        <w:t>федеральны</w:t>
      </w:r>
      <w:r w:rsidR="00256DC4" w:rsidRPr="001A5682">
        <w:t>м</w:t>
      </w:r>
      <w:r w:rsidR="00E627B4" w:rsidRPr="001A5682">
        <w:t xml:space="preserve"> орган</w:t>
      </w:r>
      <w:r w:rsidR="00256DC4" w:rsidRPr="001A5682">
        <w:t>ам</w:t>
      </w:r>
      <w:r w:rsidR="00E627B4" w:rsidRPr="001A5682">
        <w:t xml:space="preserve"> исполнительной власти</w:t>
      </w:r>
      <w:r w:rsidR="0071755B" w:rsidRPr="001A5682">
        <w:t xml:space="preserve"> для </w:t>
      </w:r>
      <w:r w:rsidR="006D59CC" w:rsidRPr="001A5682">
        <w:t>информирования</w:t>
      </w:r>
      <w:r w:rsidR="0071435C">
        <w:t xml:space="preserve"> и организации</w:t>
      </w:r>
      <w:r w:rsidR="008F5351">
        <w:t xml:space="preserve"> </w:t>
      </w:r>
      <w:r w:rsidR="00256DC4" w:rsidRPr="001A5682">
        <w:t>совместного обсуждения с</w:t>
      </w:r>
      <w:r w:rsidR="00DE7D0A" w:rsidRPr="001A5682">
        <w:t> </w:t>
      </w:r>
      <w:r w:rsidR="00256DC4" w:rsidRPr="001A5682">
        <w:t>представителями</w:t>
      </w:r>
      <w:r w:rsidR="008F5351">
        <w:t xml:space="preserve"> </w:t>
      </w:r>
      <w:r w:rsidR="00256DC4" w:rsidRPr="001A5682">
        <w:t>профессионального сообщества</w:t>
      </w:r>
      <w:r w:rsidR="00583715" w:rsidRPr="001A5682">
        <w:t>;</w:t>
      </w:r>
    </w:p>
    <w:p w:rsidR="00866C66" w:rsidRDefault="00866C66" w:rsidP="001A5682">
      <w:pPr>
        <w:pStyle w:val="a7"/>
        <w:numPr>
          <w:ilvl w:val="1"/>
          <w:numId w:val="2"/>
        </w:numPr>
        <w:tabs>
          <w:tab w:val="left" w:pos="1134"/>
        </w:tabs>
        <w:spacing w:before="120" w:after="120"/>
        <w:ind w:left="0" w:firstLine="709"/>
        <w:contextualSpacing w:val="0"/>
        <w:jc w:val="both"/>
      </w:pPr>
      <w:r w:rsidRPr="001A5682">
        <w:t>о</w:t>
      </w:r>
      <w:r w:rsidR="0071755B" w:rsidRPr="001A5682">
        <w:t>рганизатор</w:t>
      </w:r>
      <w:r w:rsidR="00B44B81" w:rsidRPr="001A5682">
        <w:t>ам</w:t>
      </w:r>
      <w:r w:rsidR="008F5351">
        <w:t xml:space="preserve"> </w:t>
      </w:r>
      <w:r w:rsidRPr="001A5682">
        <w:t>Конференции разм</w:t>
      </w:r>
      <w:r w:rsidR="006056F8">
        <w:t>естить материалы Конференции на </w:t>
      </w:r>
      <w:r w:rsidRPr="001A5682">
        <w:t>своих сайтах в сети Интернет и определить ответственных за мониторинг принятых решений и периодическое информирование профессионального сообщест</w:t>
      </w:r>
      <w:r w:rsidRPr="00866C66">
        <w:t>ва об их исполнении.</w:t>
      </w:r>
    </w:p>
    <w:p w:rsidR="006056F8" w:rsidRDefault="00842D6C" w:rsidP="006056F8">
      <w:pPr>
        <w:pStyle w:val="a7"/>
        <w:tabs>
          <w:tab w:val="left" w:pos="1134"/>
        </w:tabs>
        <w:spacing w:before="120" w:after="120"/>
        <w:ind w:left="0"/>
        <w:contextualSpacing w:val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4318635</wp:posOffset>
            </wp:positionV>
            <wp:extent cx="2285365" cy="630555"/>
            <wp:effectExtent l="0" t="0" r="635" b="0"/>
            <wp:wrapNone/>
            <wp:docPr id="3" name="Рисунок 3" descr="Лоцма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цман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4318635</wp:posOffset>
            </wp:positionV>
            <wp:extent cx="2285365" cy="630555"/>
            <wp:effectExtent l="0" t="0" r="635" b="0"/>
            <wp:wrapNone/>
            <wp:docPr id="2" name="Рисунок 2" descr="Лоцма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цман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6F8" w:rsidRDefault="006056F8" w:rsidP="006056F8">
      <w:pPr>
        <w:pStyle w:val="a7"/>
        <w:tabs>
          <w:tab w:val="left" w:pos="1134"/>
        </w:tabs>
        <w:spacing w:before="120" w:after="120"/>
        <w:ind w:left="0"/>
        <w:contextualSpacing w:val="0"/>
        <w:jc w:val="both"/>
      </w:pPr>
      <w:r>
        <w:t>Модераторы:</w:t>
      </w:r>
    </w:p>
    <w:p w:rsidR="006056F8" w:rsidRDefault="00842D6C" w:rsidP="006056F8">
      <w:pPr>
        <w:pStyle w:val="a7"/>
        <w:tabs>
          <w:tab w:val="left" w:pos="1134"/>
        </w:tabs>
        <w:spacing w:after="0" w:line="240" w:lineRule="auto"/>
        <w:ind w:left="0"/>
        <w:contextualSpacing w:val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BD6BA31" wp14:editId="17B1B734">
            <wp:simplePos x="0" y="0"/>
            <wp:positionH relativeFrom="column">
              <wp:posOffset>4057972</wp:posOffset>
            </wp:positionH>
            <wp:positionV relativeFrom="paragraph">
              <wp:posOffset>125292</wp:posOffset>
            </wp:positionV>
            <wp:extent cx="1895475" cy="779145"/>
            <wp:effectExtent l="0" t="0" r="9525" b="1905"/>
            <wp:wrapNone/>
            <wp:docPr id="5" name="Рисунок 5" descr="Лоцманов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цманов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6F8" w:rsidRDefault="006056F8" w:rsidP="006056F8">
      <w:pPr>
        <w:pStyle w:val="a7"/>
        <w:tabs>
          <w:tab w:val="left" w:pos="1134"/>
        </w:tabs>
        <w:spacing w:after="0" w:line="240" w:lineRule="auto"/>
        <w:ind w:left="0"/>
        <w:contextualSpacing w:val="0"/>
        <w:jc w:val="both"/>
      </w:pPr>
      <w:r>
        <w:t>П</w:t>
      </w:r>
      <w:r w:rsidRPr="006056F8">
        <w:t xml:space="preserve">ервый заместитель Председателя </w:t>
      </w:r>
    </w:p>
    <w:p w:rsidR="006056F8" w:rsidRDefault="006056F8" w:rsidP="006056F8">
      <w:pPr>
        <w:pStyle w:val="a7"/>
        <w:tabs>
          <w:tab w:val="left" w:pos="1134"/>
        </w:tabs>
        <w:spacing w:after="0" w:line="240" w:lineRule="auto"/>
        <w:ind w:left="0"/>
        <w:contextualSpacing w:val="0"/>
        <w:jc w:val="both"/>
      </w:pPr>
      <w:r w:rsidRPr="006056F8">
        <w:t xml:space="preserve">Комитета РСПП по техническому регулированию, </w:t>
      </w:r>
    </w:p>
    <w:p w:rsidR="006056F8" w:rsidRDefault="006056F8" w:rsidP="006056F8">
      <w:pPr>
        <w:pStyle w:val="a7"/>
        <w:tabs>
          <w:tab w:val="left" w:pos="1134"/>
        </w:tabs>
        <w:spacing w:after="0" w:line="240" w:lineRule="auto"/>
        <w:ind w:left="0"/>
        <w:contextualSpacing w:val="0"/>
        <w:jc w:val="both"/>
      </w:pPr>
      <w:r w:rsidRPr="006056F8">
        <w:t>стандартизации и оценке соответствия</w:t>
      </w:r>
      <w:r>
        <w:t xml:space="preserve">                                             А.Н. Лоцманов</w:t>
      </w:r>
    </w:p>
    <w:p w:rsidR="006056F8" w:rsidRDefault="00842D6C" w:rsidP="006056F8">
      <w:pPr>
        <w:pStyle w:val="a7"/>
        <w:tabs>
          <w:tab w:val="left" w:pos="1134"/>
        </w:tabs>
        <w:spacing w:after="0" w:line="240" w:lineRule="auto"/>
        <w:ind w:left="0"/>
        <w:contextualSpacing w:val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AE8F97F" wp14:editId="16B84F56">
            <wp:simplePos x="0" y="0"/>
            <wp:positionH relativeFrom="column">
              <wp:posOffset>3956982</wp:posOffset>
            </wp:positionH>
            <wp:positionV relativeFrom="paragraph">
              <wp:posOffset>6985</wp:posOffset>
            </wp:positionV>
            <wp:extent cx="1273808" cy="1193800"/>
            <wp:effectExtent l="0" t="0" r="3175" b="6350"/>
            <wp:wrapNone/>
            <wp:docPr id="6" name="Рисунок 6" descr="\\stor\KTR\Общая папка\Подписи\Слеп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or\KTR\Общая папка\Подписи\Слепак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317" cy="119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6F8" w:rsidRDefault="006056F8" w:rsidP="006056F8">
      <w:pPr>
        <w:pStyle w:val="a7"/>
        <w:tabs>
          <w:tab w:val="left" w:pos="1134"/>
        </w:tabs>
        <w:spacing w:after="0" w:line="240" w:lineRule="auto"/>
        <w:ind w:left="0"/>
        <w:contextualSpacing w:val="0"/>
        <w:jc w:val="both"/>
      </w:pPr>
      <w:r>
        <w:t>П</w:t>
      </w:r>
      <w:r w:rsidRPr="006056F8">
        <w:t xml:space="preserve">редседатель </w:t>
      </w:r>
      <w:r>
        <w:t xml:space="preserve">Комитета </w:t>
      </w:r>
    </w:p>
    <w:p w:rsidR="006056F8" w:rsidRDefault="006056F8" w:rsidP="006056F8">
      <w:pPr>
        <w:pStyle w:val="a7"/>
        <w:tabs>
          <w:tab w:val="left" w:pos="1134"/>
        </w:tabs>
        <w:spacing w:after="0" w:line="240" w:lineRule="auto"/>
        <w:ind w:left="0"/>
        <w:contextualSpacing w:val="0"/>
        <w:jc w:val="both"/>
      </w:pPr>
      <w:r>
        <w:t xml:space="preserve">по нормативному и техническому </w:t>
      </w:r>
    </w:p>
    <w:p w:rsidR="00842D6C" w:rsidRPr="004C2732" w:rsidRDefault="006056F8" w:rsidP="006056F8">
      <w:pPr>
        <w:pStyle w:val="a7"/>
        <w:tabs>
          <w:tab w:val="left" w:pos="1134"/>
        </w:tabs>
        <w:spacing w:after="0" w:line="240" w:lineRule="auto"/>
        <w:ind w:left="0"/>
        <w:contextualSpacing w:val="0"/>
        <w:jc w:val="both"/>
      </w:pPr>
      <w:r>
        <w:t>регулированию НОПРИЗ                                                                      М.С. Слепак</w:t>
      </w:r>
    </w:p>
    <w:sectPr w:rsidR="00842D6C" w:rsidRPr="004C2732" w:rsidSect="00FE2FB1">
      <w:headerReference w:type="default" r:id="rId12"/>
      <w:footerReference w:type="default" r:id="rId13"/>
      <w:pgSz w:w="11906" w:h="16838"/>
      <w:pgMar w:top="1021" w:right="851" w:bottom="102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132" w:rsidRDefault="00B87132" w:rsidP="00212A1D">
      <w:pPr>
        <w:spacing w:after="0" w:line="240" w:lineRule="auto"/>
      </w:pPr>
      <w:r>
        <w:separator/>
      </w:r>
    </w:p>
  </w:endnote>
  <w:endnote w:type="continuationSeparator" w:id="0">
    <w:p w:rsidR="00B87132" w:rsidRDefault="00B87132" w:rsidP="00212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B95" w:rsidRDefault="000F2B95">
    <w:pPr>
      <w:pStyle w:val="a5"/>
      <w:jc w:val="right"/>
    </w:pPr>
  </w:p>
  <w:p w:rsidR="000F2B95" w:rsidRDefault="000F2B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132" w:rsidRDefault="00B87132" w:rsidP="00212A1D">
      <w:pPr>
        <w:spacing w:after="0" w:line="240" w:lineRule="auto"/>
      </w:pPr>
      <w:r>
        <w:separator/>
      </w:r>
    </w:p>
  </w:footnote>
  <w:footnote w:type="continuationSeparator" w:id="0">
    <w:p w:rsidR="00B87132" w:rsidRDefault="00B87132" w:rsidP="00212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51965"/>
      <w:docPartObj>
        <w:docPartGallery w:val="Page Numbers (Top of Page)"/>
        <w:docPartUnique/>
      </w:docPartObj>
    </w:sdtPr>
    <w:sdtEndPr/>
    <w:sdtContent>
      <w:p w:rsidR="000F2B95" w:rsidRDefault="00875482">
        <w:pPr>
          <w:pStyle w:val="a3"/>
          <w:jc w:val="right"/>
        </w:pPr>
        <w:r>
          <w:fldChar w:fldCharType="begin"/>
        </w:r>
        <w:r w:rsidR="00277459">
          <w:instrText xml:space="preserve"> PAGE   \* MERGEFORMAT </w:instrText>
        </w:r>
        <w:r>
          <w:fldChar w:fldCharType="separate"/>
        </w:r>
        <w:r w:rsidR="001C53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2B95" w:rsidRDefault="000F2B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D012F"/>
    <w:multiLevelType w:val="hybridMultilevel"/>
    <w:tmpl w:val="47107E10"/>
    <w:lvl w:ilvl="0" w:tplc="E4A2E0D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A1FB3"/>
    <w:multiLevelType w:val="hybridMultilevel"/>
    <w:tmpl w:val="96B40F0E"/>
    <w:lvl w:ilvl="0" w:tplc="E4A2E0D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E4A2E0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32"/>
    <w:rsid w:val="00000B8A"/>
    <w:rsid w:val="00036D14"/>
    <w:rsid w:val="000536BD"/>
    <w:rsid w:val="00062F63"/>
    <w:rsid w:val="0007481E"/>
    <w:rsid w:val="0008286F"/>
    <w:rsid w:val="0008763E"/>
    <w:rsid w:val="00096DF5"/>
    <w:rsid w:val="000A5980"/>
    <w:rsid w:val="000B7621"/>
    <w:rsid w:val="000E714F"/>
    <w:rsid w:val="000F2B95"/>
    <w:rsid w:val="0011081C"/>
    <w:rsid w:val="00121C34"/>
    <w:rsid w:val="001A5682"/>
    <w:rsid w:val="001C5316"/>
    <w:rsid w:val="001E7960"/>
    <w:rsid w:val="00210AD6"/>
    <w:rsid w:val="00212A1D"/>
    <w:rsid w:val="00256DC4"/>
    <w:rsid w:val="00263152"/>
    <w:rsid w:val="00277459"/>
    <w:rsid w:val="00294E6F"/>
    <w:rsid w:val="00295FC7"/>
    <w:rsid w:val="002D50B1"/>
    <w:rsid w:val="002F0EF1"/>
    <w:rsid w:val="002F1B81"/>
    <w:rsid w:val="002F564C"/>
    <w:rsid w:val="0030153E"/>
    <w:rsid w:val="0031157C"/>
    <w:rsid w:val="00315C27"/>
    <w:rsid w:val="00354F65"/>
    <w:rsid w:val="003559E2"/>
    <w:rsid w:val="00372A4D"/>
    <w:rsid w:val="0038704C"/>
    <w:rsid w:val="00426886"/>
    <w:rsid w:val="00472F78"/>
    <w:rsid w:val="004768FD"/>
    <w:rsid w:val="004851EA"/>
    <w:rsid w:val="004B78EE"/>
    <w:rsid w:val="004C2732"/>
    <w:rsid w:val="004D3F07"/>
    <w:rsid w:val="00503230"/>
    <w:rsid w:val="00583715"/>
    <w:rsid w:val="005C3CD4"/>
    <w:rsid w:val="005F2DAB"/>
    <w:rsid w:val="006056F8"/>
    <w:rsid w:val="00605DAB"/>
    <w:rsid w:val="006B688C"/>
    <w:rsid w:val="006B7B42"/>
    <w:rsid w:val="006C69E6"/>
    <w:rsid w:val="006D59CC"/>
    <w:rsid w:val="007133AD"/>
    <w:rsid w:val="0071435C"/>
    <w:rsid w:val="0071755B"/>
    <w:rsid w:val="00751291"/>
    <w:rsid w:val="007805C4"/>
    <w:rsid w:val="007A13C5"/>
    <w:rsid w:val="007A40CA"/>
    <w:rsid w:val="007C7A29"/>
    <w:rsid w:val="007D594E"/>
    <w:rsid w:val="007E2F13"/>
    <w:rsid w:val="00842163"/>
    <w:rsid w:val="00842D6C"/>
    <w:rsid w:val="00860645"/>
    <w:rsid w:val="0086481F"/>
    <w:rsid w:val="00866C66"/>
    <w:rsid w:val="00875482"/>
    <w:rsid w:val="00895856"/>
    <w:rsid w:val="008D7027"/>
    <w:rsid w:val="008D76FC"/>
    <w:rsid w:val="008F3D0B"/>
    <w:rsid w:val="008F5351"/>
    <w:rsid w:val="00902CD2"/>
    <w:rsid w:val="00910F65"/>
    <w:rsid w:val="00951C63"/>
    <w:rsid w:val="0096567C"/>
    <w:rsid w:val="009732F4"/>
    <w:rsid w:val="00982950"/>
    <w:rsid w:val="0098372B"/>
    <w:rsid w:val="009A09F0"/>
    <w:rsid w:val="009B68B5"/>
    <w:rsid w:val="00A004DB"/>
    <w:rsid w:val="00A02499"/>
    <w:rsid w:val="00A451F7"/>
    <w:rsid w:val="00A663EF"/>
    <w:rsid w:val="00A9131C"/>
    <w:rsid w:val="00AC0D49"/>
    <w:rsid w:val="00AC5AA9"/>
    <w:rsid w:val="00AF4E78"/>
    <w:rsid w:val="00B06336"/>
    <w:rsid w:val="00B22DA8"/>
    <w:rsid w:val="00B44B81"/>
    <w:rsid w:val="00B87132"/>
    <w:rsid w:val="00BB368A"/>
    <w:rsid w:val="00BB6567"/>
    <w:rsid w:val="00C0018A"/>
    <w:rsid w:val="00C358B9"/>
    <w:rsid w:val="00C92E3E"/>
    <w:rsid w:val="00CA2033"/>
    <w:rsid w:val="00CB36A0"/>
    <w:rsid w:val="00CE5F41"/>
    <w:rsid w:val="00D53837"/>
    <w:rsid w:val="00D71219"/>
    <w:rsid w:val="00DC612D"/>
    <w:rsid w:val="00DE7D0A"/>
    <w:rsid w:val="00DF67DF"/>
    <w:rsid w:val="00DF7D86"/>
    <w:rsid w:val="00E1404C"/>
    <w:rsid w:val="00E627B4"/>
    <w:rsid w:val="00EE0C40"/>
    <w:rsid w:val="00F14E85"/>
    <w:rsid w:val="00F55824"/>
    <w:rsid w:val="00F74C7D"/>
    <w:rsid w:val="00F75A94"/>
    <w:rsid w:val="00F80EFF"/>
    <w:rsid w:val="00F84D02"/>
    <w:rsid w:val="00F85F66"/>
    <w:rsid w:val="00F873CF"/>
    <w:rsid w:val="00F90DB6"/>
    <w:rsid w:val="00FB1CCC"/>
    <w:rsid w:val="00FB7F2E"/>
    <w:rsid w:val="00FE2FB1"/>
    <w:rsid w:val="00FF0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67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2A1D"/>
  </w:style>
  <w:style w:type="paragraph" w:styleId="a5">
    <w:name w:val="footer"/>
    <w:basedOn w:val="a"/>
    <w:link w:val="a6"/>
    <w:uiPriority w:val="99"/>
    <w:unhideWhenUsed/>
    <w:rsid w:val="00212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2A1D"/>
  </w:style>
  <w:style w:type="paragraph" w:styleId="a7">
    <w:name w:val="List Paragraph"/>
    <w:basedOn w:val="a"/>
    <w:uiPriority w:val="34"/>
    <w:qFormat/>
    <w:rsid w:val="00DE7D0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1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57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CA203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67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2A1D"/>
  </w:style>
  <w:style w:type="paragraph" w:styleId="a5">
    <w:name w:val="footer"/>
    <w:basedOn w:val="a"/>
    <w:link w:val="a6"/>
    <w:uiPriority w:val="99"/>
    <w:unhideWhenUsed/>
    <w:rsid w:val="00212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2A1D"/>
  </w:style>
  <w:style w:type="paragraph" w:styleId="a7">
    <w:name w:val="List Paragraph"/>
    <w:basedOn w:val="a"/>
    <w:uiPriority w:val="34"/>
    <w:qFormat/>
    <w:rsid w:val="00DE7D0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1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57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CA203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25BE0-BE9D-47E1-9B3E-1C98C2D3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Седов</dc:creator>
  <cp:lastModifiedBy>Лобанов Сергей Васильевич</cp:lastModifiedBy>
  <cp:revision>2</cp:revision>
  <cp:lastPrinted>2016-10-19T11:56:00Z</cp:lastPrinted>
  <dcterms:created xsi:type="dcterms:W3CDTF">2016-10-19T14:03:00Z</dcterms:created>
  <dcterms:modified xsi:type="dcterms:W3CDTF">2016-10-19T14:03:00Z</dcterms:modified>
</cp:coreProperties>
</file>