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0C" w:rsidRDefault="00450A0C" w:rsidP="00450A0C">
      <w:pPr>
        <w:jc w:val="center"/>
      </w:pPr>
      <w:r>
        <w:rPr>
          <w:noProof/>
          <w:lang w:eastAsia="ru-RU"/>
        </w:rPr>
        <w:drawing>
          <wp:inline distT="0" distB="0" distL="0" distR="0" wp14:anchorId="1303376F" wp14:editId="7D726BEC">
            <wp:extent cx="962025" cy="571500"/>
            <wp:effectExtent l="0" t="0" r="9525" b="0"/>
            <wp:docPr id="40" name="Рисунок 40" descr="C:\Users\rykov\AppData\Local\Microsoft\Windows\Temporary Internet Files\Content.Outlook\8A4FBSX4\Логотип Союз_к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ykov\AppData\Local\Microsoft\Windows\Temporary Internet Files\Content.Outlook\8A4FBSX4\Логотип Союз_кп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r>
        <w:rPr>
          <w:noProof/>
          <w:lang w:eastAsia="ru-RU"/>
        </w:rPr>
        <w:drawing>
          <wp:inline distT="0" distB="0" distL="0" distR="0" wp14:anchorId="29A32B55" wp14:editId="73C21340">
            <wp:extent cx="1123950" cy="7275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566" cy="728625"/>
                    </a:xfrm>
                    <a:prstGeom prst="rect">
                      <a:avLst/>
                    </a:prstGeom>
                    <a:noFill/>
                    <a:ln>
                      <a:noFill/>
                    </a:ln>
                  </pic:spPr>
                </pic:pic>
              </a:graphicData>
            </a:graphic>
          </wp:inline>
        </w:drawing>
      </w:r>
      <w:r>
        <w:rPr>
          <w:noProof/>
          <w:lang w:eastAsia="ru-RU"/>
        </w:rPr>
        <w:drawing>
          <wp:inline distT="0" distB="0" distL="0" distR="0" wp14:anchorId="77696101" wp14:editId="20BB4CCA">
            <wp:extent cx="1355295" cy="720000"/>
            <wp:effectExtent l="0" t="0" r="0" b="4445"/>
            <wp:docPr id="11" name="Рисунок 11" descr="C:\Users\rykov\AppData\Local\Microsoft\Windows\Temporary Internet Files\Content.Outlook\8A4FBSX4\atameken-logo_1434081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ykov\AppData\Local\Microsoft\Windows\Temporary Internet Files\Content.Outlook\8A4FBSX4\atameken-logo_14340817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295" cy="720000"/>
                    </a:xfrm>
                    <a:prstGeom prst="rect">
                      <a:avLst/>
                    </a:prstGeom>
                    <a:noFill/>
                    <a:ln>
                      <a:noFill/>
                    </a:ln>
                  </pic:spPr>
                </pic:pic>
              </a:graphicData>
            </a:graphic>
          </wp:inline>
        </w:drawing>
      </w:r>
      <w:r>
        <w:rPr>
          <w:rFonts w:ascii="Arial" w:hAnsi="Arial" w:cs="Arial"/>
          <w:noProof/>
          <w:szCs w:val="24"/>
          <w:lang w:eastAsia="ru-RU"/>
        </w:rPr>
        <w:drawing>
          <wp:inline distT="0" distB="0" distL="0" distR="0" wp14:anchorId="4C7DAABD" wp14:editId="0C0BE7D6">
            <wp:extent cx="1620000" cy="613875"/>
            <wp:effectExtent l="0" t="0" r="0" b="0"/>
            <wp:docPr id="14" name="Рисунок 14" descr="http://kspp.kg/images/templ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spp.kg/images/template/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20000" cy="613875"/>
                    </a:xfrm>
                    <a:prstGeom prst="rect">
                      <a:avLst/>
                    </a:prstGeom>
                    <a:noFill/>
                    <a:ln>
                      <a:noFill/>
                    </a:ln>
                  </pic:spPr>
                </pic:pic>
              </a:graphicData>
            </a:graphic>
          </wp:inline>
        </w:drawing>
      </w:r>
      <w:r>
        <w:rPr>
          <w:noProof/>
          <w:lang w:eastAsia="ru-RU"/>
        </w:rPr>
        <w:drawing>
          <wp:inline distT="0" distB="0" distL="0" distR="0" wp14:anchorId="3FC9A1AF" wp14:editId="354C7F1B">
            <wp:extent cx="1152000" cy="720000"/>
            <wp:effectExtent l="0" t="0" r="0" b="4445"/>
            <wp:docPr id="9" name="Рисунок 9" descr="http://infoindustria.com.ua/wp-content/uploads/2016/03/rs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foindustria.com.ua/wp-content/uploads/2016/03/rsp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000" cy="720000"/>
                    </a:xfrm>
                    <a:prstGeom prst="rect">
                      <a:avLst/>
                    </a:prstGeom>
                    <a:noFill/>
                    <a:ln>
                      <a:noFill/>
                    </a:ln>
                  </pic:spPr>
                </pic:pic>
              </a:graphicData>
            </a:graphic>
          </wp:inline>
        </w:drawing>
      </w:r>
    </w:p>
    <w:p w:rsidR="00450A0C" w:rsidRDefault="00450A0C" w:rsidP="00450A0C"/>
    <w:p w:rsidR="00F42AB1" w:rsidRPr="000D20B2" w:rsidRDefault="00F42AB1" w:rsidP="00F42AB1">
      <w:pPr>
        <w:jc w:val="center"/>
        <w:rPr>
          <w:b/>
          <w:sz w:val="36"/>
        </w:rPr>
      </w:pPr>
      <w:r w:rsidRPr="000D20B2">
        <w:rPr>
          <w:b/>
          <w:sz w:val="36"/>
        </w:rPr>
        <w:t>ДЕЛОВОЙ СОВЕТ</w:t>
      </w:r>
    </w:p>
    <w:p w:rsidR="00F42AB1" w:rsidRPr="000D20B2" w:rsidRDefault="00F42AB1" w:rsidP="00F42AB1">
      <w:pPr>
        <w:jc w:val="center"/>
        <w:rPr>
          <w:b/>
          <w:sz w:val="36"/>
        </w:rPr>
      </w:pPr>
      <w:r w:rsidRPr="000D20B2">
        <w:rPr>
          <w:b/>
          <w:sz w:val="36"/>
        </w:rPr>
        <w:t>ЕВРАЗИЙСКОГО ЭКОНОМИЧЕСКОГО СОЮЗА</w:t>
      </w:r>
    </w:p>
    <w:p w:rsidR="00F42AB1" w:rsidRDefault="00F42AB1" w:rsidP="00F42AB1">
      <w:pPr>
        <w:rPr>
          <w:b/>
          <w:sz w:val="32"/>
        </w:rPr>
      </w:pPr>
    </w:p>
    <w:p w:rsidR="00F42AB1" w:rsidRDefault="00F42AB1" w:rsidP="00F42AB1">
      <w:pPr>
        <w:jc w:val="center"/>
        <w:rPr>
          <w:b/>
          <w:sz w:val="32"/>
          <w:szCs w:val="32"/>
        </w:rPr>
      </w:pPr>
      <w:r w:rsidRPr="008D4527">
        <w:rPr>
          <w:b/>
          <w:sz w:val="32"/>
          <w:szCs w:val="32"/>
        </w:rPr>
        <w:t>Обзо</w:t>
      </w:r>
      <w:r w:rsidR="00BE503F">
        <w:rPr>
          <w:b/>
          <w:sz w:val="32"/>
          <w:szCs w:val="32"/>
        </w:rPr>
        <w:t>р ключевых событий интеграции 5</w:t>
      </w:r>
      <w:r>
        <w:rPr>
          <w:b/>
          <w:sz w:val="32"/>
          <w:szCs w:val="32"/>
        </w:rPr>
        <w:t xml:space="preserve"> ноя</w:t>
      </w:r>
      <w:r w:rsidRPr="008D4527">
        <w:rPr>
          <w:b/>
          <w:sz w:val="32"/>
          <w:szCs w:val="32"/>
        </w:rPr>
        <w:t>бря 2016г.</w:t>
      </w:r>
      <w:r>
        <w:rPr>
          <w:b/>
          <w:sz w:val="32"/>
          <w:szCs w:val="32"/>
        </w:rPr>
        <w:t>_утро</w:t>
      </w:r>
    </w:p>
    <w:p w:rsidR="006E69AB" w:rsidRDefault="006E69AB" w:rsidP="006E69AB">
      <w:pPr>
        <w:spacing w:after="200" w:line="276" w:lineRule="auto"/>
        <w:jc w:val="both"/>
        <w:rPr>
          <w:rFonts w:eastAsia="Times New Roman" w:cs="Times New Roman"/>
          <w:b/>
          <w:sz w:val="28"/>
        </w:rPr>
      </w:pP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b/>
          <w:bCs/>
          <w:sz w:val="28"/>
          <w:szCs w:val="28"/>
        </w:rPr>
        <w:t xml:space="preserve">1. </w:t>
      </w:r>
      <w:r w:rsidRPr="002351A2">
        <w:rPr>
          <w:rFonts w:cs="Times New Roman"/>
          <w:b/>
          <w:bCs/>
          <w:sz w:val="28"/>
          <w:szCs w:val="28"/>
        </w:rPr>
        <w:t>«Атамекен» и Минсельхоз РК инициируют движение по продвижению казахстанской продукции на рынок КНР</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На площадке НПП РК «Атамекен» состоялся брифинг, в ходе которого зампред Правления НПП Н. Альтаев, а также представители Министерства сельского хозяйства и отраслевых ассоциаций рассказали о перспективах экспорта казахстанской сельскохозяйственной продукции и продовольственных товаров на рынок Китая. Н. Альтаев отметил, что сегодня сырьевая направленность экономики РК отходит на второй план, новым драйвером экономики по поручению Главы государства должно стать сельское хозяйство.  Для этого недостаточно развивать только внутренний рынок, необходимо осваивать рынки соседних стран - России и Китая.</w:t>
      </w:r>
    </w:p>
    <w:p w:rsidR="00BE503F" w:rsidRPr="002351A2" w:rsidRDefault="00BE503F" w:rsidP="00BE503F">
      <w:pPr>
        <w:autoSpaceDE w:val="0"/>
        <w:autoSpaceDN w:val="0"/>
        <w:adjustRightInd w:val="0"/>
        <w:spacing w:after="200" w:line="276" w:lineRule="auto"/>
        <w:jc w:val="both"/>
        <w:rPr>
          <w:rFonts w:cs="Times New Roman"/>
          <w:b/>
          <w:bCs/>
          <w:sz w:val="28"/>
          <w:szCs w:val="28"/>
        </w:rPr>
      </w:pPr>
      <w:r>
        <w:rPr>
          <w:rFonts w:cs="Times New Roman"/>
          <w:b/>
          <w:bCs/>
          <w:sz w:val="28"/>
          <w:szCs w:val="28"/>
        </w:rPr>
        <w:t xml:space="preserve">2. </w:t>
      </w:r>
      <w:r w:rsidRPr="002351A2">
        <w:rPr>
          <w:rFonts w:cs="Times New Roman"/>
          <w:b/>
          <w:bCs/>
          <w:sz w:val="28"/>
          <w:szCs w:val="28"/>
        </w:rPr>
        <w:t>Казахстан и Китай укрепляют сотрудничество в автопроизводстве</w:t>
      </w:r>
    </w:p>
    <w:p w:rsidR="00BE503F"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 xml:space="preserve">AllurGroup продемонстрировал модельную линейку автомобилей JAC, производство которых налажено на базе костанайского предприятия «СарыаркаАвтоПром», во время телемоста с премьер-министрами Китая и РК. Председатель совета директоров AllurGroup А.Лаврентьев доложил о результатах сотрудничества с китайской инвестиционной компанией China National Machinery IMP. &amp; EXP. CORP (CMC) и автомобильной компанией JAC Motors. «Мы совместно начали с крупноузловой сборки трех моделей автомобилей бренда JAC Motors.  В дальнейшее развитие производства   инвестировано 28 млн долларов, из которых 18 млн </w:t>
      </w:r>
      <w:r>
        <w:rPr>
          <w:rFonts w:cs="Times New Roman"/>
          <w:sz w:val="28"/>
          <w:szCs w:val="28"/>
        </w:rPr>
        <w:t xml:space="preserve">вложил китайский инвестор СМС. </w:t>
      </w:r>
      <w:r w:rsidRPr="002351A2">
        <w:rPr>
          <w:rFonts w:cs="Times New Roman"/>
          <w:sz w:val="28"/>
          <w:szCs w:val="28"/>
        </w:rPr>
        <w:t>В течение 3 лет планируем  достичь 50% локализации за счет производства автокомпонентов в РК. Стратегическая цель нашего партнерства - выход на рынок Таможенного Союза», - заявил Лаврентьев.</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lastRenderedPageBreak/>
        <w:t xml:space="preserve">     </w:t>
      </w:r>
      <w:r w:rsidRPr="002351A2">
        <w:rPr>
          <w:rFonts w:cs="Times New Roman"/>
          <w:sz w:val="28"/>
          <w:szCs w:val="28"/>
        </w:rPr>
        <w:t xml:space="preserve"> «Наш совместный с РК проект выходит на решающую стадию. В КНР произведено все необходимое технологическое оборудование, и мы приступаем к его поставке в текущем месяце. Локализацию производства и расширение сотрудничества между нашими компаниями мы планируем на базе Индустриальной Зоны в городе Костанай. Используя наш промышленный опыт и новые технологии, мы совместно с казахстанским партнером сможем занять уверенные позиции на рынке», - отметил заместитель генерального директора компании JAC Motors г-н Ю Янг.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b/>
          <w:bCs/>
          <w:sz w:val="28"/>
          <w:szCs w:val="28"/>
        </w:rPr>
        <w:t xml:space="preserve">3. </w:t>
      </w:r>
      <w:r w:rsidRPr="002351A2">
        <w:rPr>
          <w:rFonts w:cs="Times New Roman"/>
          <w:b/>
          <w:bCs/>
          <w:sz w:val="28"/>
          <w:szCs w:val="28"/>
        </w:rPr>
        <w:t>Армения в центре внимания мировой ювелирной индустрии</w:t>
      </w:r>
    </w:p>
    <w:p w:rsidR="00BE503F"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 xml:space="preserve">Состоялся ежегодный Конгресс всемирной ювелирной конфедерации (CIBJO), собравший под сводами выставочного центра "Меридиан" свыше 80 делегатов ювелирной индустрии из 25 стран мира. Глава Всемирной ассоциации армянских ювелиров (AJA) Гагик Геворкян уверен, что конгресс должен стать историческим для развития отечественной ювелирной сферы, поскольку все эти дни "наша страна будет ювелирным центром мира и к ней будет приковано внимание всей ювелирной индустрии".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 xml:space="preserve">Интерес к выставке в РА растет во многом благодаря членству нашей страны в ЕАЭС, что позволяет существенно расширить рынки сбыта их продукции. Производимую в СЭЗ "Меридиан" продукцию можно экспортировать на евразийский рынок на </w:t>
      </w:r>
      <w:r>
        <w:rPr>
          <w:rFonts w:cs="Times New Roman"/>
          <w:sz w:val="28"/>
          <w:szCs w:val="28"/>
        </w:rPr>
        <w:t>весьма выгодных условиях. В</w:t>
      </w:r>
      <w:bookmarkStart w:id="0" w:name="_GoBack"/>
      <w:bookmarkEnd w:id="0"/>
      <w:r w:rsidRPr="002351A2">
        <w:rPr>
          <w:rFonts w:cs="Times New Roman"/>
          <w:sz w:val="28"/>
          <w:szCs w:val="28"/>
        </w:rPr>
        <w:t xml:space="preserve"> ЕЭК разрабатывается проект Соглашения об особенностях совершения операций с драгметаллами и драгоценными камнями в ЕАЭС. В проекте предусмотрена норма о взаимном признании пробирных клейм ювелирных изделий всеми государствами-членами. После заключения и вступления в силу соответствующего международного договора в рамках союза исчезнет необходимость дублирования процедур нанесения пробирных клейм, что существенно облегчит в том числе экспорт армянских ювелирных изделий на территорию ЕАЭС. Это станет дополнительным стимулом для иностранных инвесторов в плане их прихода на армянский рынок.</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b/>
          <w:bCs/>
          <w:sz w:val="28"/>
          <w:szCs w:val="28"/>
        </w:rPr>
        <w:t xml:space="preserve">4. </w:t>
      </w:r>
      <w:r w:rsidRPr="002351A2">
        <w:rPr>
          <w:rFonts w:cs="Times New Roman"/>
          <w:b/>
          <w:bCs/>
          <w:sz w:val="28"/>
          <w:szCs w:val="28"/>
        </w:rPr>
        <w:t>ГКЗЭК Армении добилась снижения тарифов на роуминг</w:t>
      </w:r>
    </w:p>
    <w:p w:rsidR="00BE503F"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Государственная комиссия по защите экономической конкуренции (</w:t>
      </w:r>
      <w:r>
        <w:rPr>
          <w:rFonts w:cs="Times New Roman"/>
          <w:sz w:val="28"/>
          <w:szCs w:val="28"/>
        </w:rPr>
        <w:t xml:space="preserve">ГКЗЭК) РА провела исследования </w:t>
      </w:r>
      <w:r w:rsidRPr="002351A2">
        <w:rPr>
          <w:rFonts w:cs="Times New Roman"/>
          <w:sz w:val="28"/>
          <w:szCs w:val="28"/>
        </w:rPr>
        <w:t xml:space="preserve">в сфере услуг международной мобильной связи (роуминг). Цель исследований – снижение тарифов на роуминг. Приоритетным является также обеспечение эффективной конкуренции между операторами мобильной связи на пространстве ЕАЭС, в том числе и в Армении, что в дальнейшем определенным образом повлияет на тарифы.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В результате обсуждений в течение нескольких месяцев компании установили новые тарифы, примерно в 9 раз ниже предыдущих. Так, если прежде абоненты «Арментел», «ВиваСел-МТС» и «Юком» за минуту разговора из стран-членов ЕАЭС в РА в среднем платили соответственно 541др., 780 др. и 2150 др., то после вмешательства  ГКЗЭК тарифы снизились соответственно в 3, 2 и 8,6 раза, в среднем составив 250 др. Примерно в 2 раза снизились также цены  на SMS-сообщения.  В ближайшее время комиссия осуществит также работы в направлении снижения тарифов на услуги роуминга в странах ЕС, США и другие государствах.</w:t>
      </w:r>
    </w:p>
    <w:p w:rsidR="00BE503F" w:rsidRPr="002351A2" w:rsidRDefault="00BE503F" w:rsidP="00BE503F">
      <w:pPr>
        <w:autoSpaceDE w:val="0"/>
        <w:autoSpaceDN w:val="0"/>
        <w:adjustRightInd w:val="0"/>
        <w:spacing w:after="200" w:line="276" w:lineRule="auto"/>
        <w:jc w:val="both"/>
        <w:rPr>
          <w:rFonts w:cs="Times New Roman"/>
          <w:b/>
          <w:bCs/>
          <w:sz w:val="28"/>
          <w:szCs w:val="28"/>
        </w:rPr>
      </w:pPr>
      <w:r>
        <w:rPr>
          <w:rFonts w:cs="Times New Roman"/>
          <w:b/>
          <w:bCs/>
          <w:sz w:val="28"/>
          <w:szCs w:val="28"/>
        </w:rPr>
        <w:t xml:space="preserve">5. </w:t>
      </w:r>
      <w:r w:rsidRPr="002351A2">
        <w:rPr>
          <w:rFonts w:cs="Times New Roman"/>
          <w:b/>
          <w:bCs/>
          <w:sz w:val="28"/>
          <w:szCs w:val="28"/>
        </w:rPr>
        <w:t>Правительство Китая выделит Кыргызстану грант в размере 45 миллионов долларов. Соглашение о предоставлении помощи подписано 2 ноября во время официального визита в Кыргызстан премьера Госсовета КНР Ли Кецяна</w:t>
      </w:r>
    </w:p>
    <w:p w:rsidR="00BE503F"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 xml:space="preserve">Во время встреч премьер Госсовета Китая рассказал о заинтересованности его страны в импорте экологически чистой сельхозпродукции из Кыргызстана. Стороны подписали меморандум, по которому китайские специалисты изучат качество кыргызской плодоовощной продукции, после чего Китай примет решение о поставках.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Согласно меморандуму, Китай окажет поддержку в строительстве лаборатории для определения качества сельхозпродукции. Они заинтересованы в наших яблоках, абрикосах, помидорах, мясной и другой экологически чистой сельскохозяйственной продукции. В случае, если Китай откроет для нас свой рынок, перед фермерами откроются большие возможности</w:t>
      </w:r>
      <w:r>
        <w:rPr>
          <w:rFonts w:cs="Times New Roman"/>
          <w:sz w:val="28"/>
          <w:szCs w:val="28"/>
        </w:rPr>
        <w:t>»</w:t>
      </w:r>
      <w:r w:rsidRPr="002351A2">
        <w:rPr>
          <w:rFonts w:cs="Times New Roman"/>
          <w:sz w:val="28"/>
          <w:szCs w:val="28"/>
        </w:rPr>
        <w:t xml:space="preserve">, - рассказал министр экономики КР Арзыбек Кожошев.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b/>
          <w:bCs/>
          <w:sz w:val="28"/>
          <w:szCs w:val="28"/>
        </w:rPr>
        <w:t xml:space="preserve">6. </w:t>
      </w:r>
      <w:r w:rsidRPr="002351A2">
        <w:rPr>
          <w:rFonts w:cs="Times New Roman"/>
          <w:b/>
          <w:bCs/>
          <w:sz w:val="28"/>
          <w:szCs w:val="28"/>
        </w:rPr>
        <w:t>Производителей лекарств обяжут маркировать всю продукцию к 2018 году</w:t>
      </w:r>
    </w:p>
    <w:p w:rsidR="00BE503F"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 xml:space="preserve">В последнее время участились жалобы населения из-за присутствия на российском рынке контрафактных лекарственных препаратов. К 2018 году власти обяжут всех производителей медикаментов ставить на своей продукции специальные метки. «Эта проблема должна быть решена системно. По мнению специалистов, самый эффективный способ это сделать — это обязательная маркировка всех лекарств», — считает </w:t>
      </w:r>
      <w:r>
        <w:rPr>
          <w:rFonts w:cs="Times New Roman"/>
          <w:sz w:val="28"/>
          <w:szCs w:val="28"/>
        </w:rPr>
        <w:t xml:space="preserve">вице-премьер РФ </w:t>
      </w:r>
      <w:r w:rsidRPr="002351A2">
        <w:rPr>
          <w:rFonts w:cs="Times New Roman"/>
          <w:sz w:val="28"/>
          <w:szCs w:val="28"/>
        </w:rPr>
        <w:t xml:space="preserve">Голодец. </w:t>
      </w:r>
    </w:p>
    <w:p w:rsidR="00BE503F" w:rsidRPr="002351A2" w:rsidRDefault="00BE503F" w:rsidP="00BE503F">
      <w:pPr>
        <w:autoSpaceDE w:val="0"/>
        <w:autoSpaceDN w:val="0"/>
        <w:adjustRightInd w:val="0"/>
        <w:spacing w:after="200" w:line="276" w:lineRule="auto"/>
        <w:jc w:val="both"/>
        <w:rPr>
          <w:rFonts w:cs="Times New Roman"/>
          <w:sz w:val="28"/>
          <w:szCs w:val="28"/>
        </w:rPr>
      </w:pPr>
      <w:r>
        <w:rPr>
          <w:rFonts w:cs="Times New Roman"/>
          <w:sz w:val="28"/>
          <w:szCs w:val="28"/>
        </w:rPr>
        <w:t xml:space="preserve">     </w:t>
      </w:r>
      <w:r w:rsidRPr="002351A2">
        <w:rPr>
          <w:rFonts w:cs="Times New Roman"/>
          <w:sz w:val="28"/>
          <w:szCs w:val="28"/>
        </w:rPr>
        <w:t>Такой подход, уверены в правительстве, позволит потребителям и сотрудникам проверяющих ведомств лучше контролировать качество лекарственных препаратов. Подготовку предложений по переходу на обязательную маркировку всех медикаментов правительство поручило Минздраву и Минпромторгу.</w:t>
      </w:r>
    </w:p>
    <w:p w:rsidR="00BE503F" w:rsidRDefault="00BE503F" w:rsidP="00BE503F"/>
    <w:p w:rsidR="00EE3B6C" w:rsidRPr="00450A0C" w:rsidRDefault="00EE3B6C" w:rsidP="00EE3B6C">
      <w:pPr>
        <w:jc w:val="both"/>
        <w:rPr>
          <w:sz w:val="28"/>
          <w:szCs w:val="28"/>
        </w:rPr>
      </w:pPr>
    </w:p>
    <w:sectPr w:rsidR="00EE3B6C" w:rsidRPr="00450A0C" w:rsidSect="00843A9F">
      <w:headerReference w:type="defaul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7A" w:rsidRDefault="0061097A" w:rsidP="004353C3">
      <w:r>
        <w:separator/>
      </w:r>
    </w:p>
  </w:endnote>
  <w:endnote w:type="continuationSeparator" w:id="0">
    <w:p w:rsidR="0061097A" w:rsidRDefault="0061097A" w:rsidP="0043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7A" w:rsidRDefault="0061097A" w:rsidP="004353C3">
      <w:r>
        <w:separator/>
      </w:r>
    </w:p>
  </w:footnote>
  <w:footnote w:type="continuationSeparator" w:id="0">
    <w:p w:rsidR="0061097A" w:rsidRDefault="0061097A" w:rsidP="00435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10006"/>
      <w:docPartObj>
        <w:docPartGallery w:val="Page Numbers (Top of Page)"/>
        <w:docPartUnique/>
      </w:docPartObj>
    </w:sdtPr>
    <w:sdtContent>
      <w:p w:rsidR="004353C3" w:rsidRDefault="004353C3">
        <w:pPr>
          <w:pStyle w:val="a6"/>
          <w:jc w:val="center"/>
        </w:pPr>
        <w:r>
          <w:fldChar w:fldCharType="begin"/>
        </w:r>
        <w:r>
          <w:instrText>PAGE   \* MERGEFORMAT</w:instrText>
        </w:r>
        <w:r>
          <w:fldChar w:fldCharType="separate"/>
        </w:r>
        <w:r w:rsidR="0061097A">
          <w:rPr>
            <w:noProof/>
          </w:rPr>
          <w:t>1</w:t>
        </w:r>
        <w:r>
          <w:fldChar w:fldCharType="end"/>
        </w:r>
      </w:p>
    </w:sdtContent>
  </w:sdt>
  <w:p w:rsidR="004353C3" w:rsidRDefault="004353C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0C"/>
    <w:rsid w:val="003B00AD"/>
    <w:rsid w:val="004353C3"/>
    <w:rsid w:val="00450A0C"/>
    <w:rsid w:val="005D1ACE"/>
    <w:rsid w:val="0061097A"/>
    <w:rsid w:val="006E69AB"/>
    <w:rsid w:val="00843A9F"/>
    <w:rsid w:val="00BE503F"/>
    <w:rsid w:val="00EE3B6C"/>
    <w:rsid w:val="00F42AB1"/>
    <w:rsid w:val="00FA5EC2"/>
    <w:rsid w:val="00FD41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C433E"/>
  <w14:defaultImageDpi w14:val="300"/>
  <w15:docId w15:val="{B9D0D7D3-184A-4030-A58B-0DEB05CC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Arial"/>
        <w:smallCaps/>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A0C"/>
    <w:rPr>
      <w:rFonts w:ascii="Times New Roman" w:eastAsiaTheme="minorHAnsi" w:hAnsi="Times New Roman" w:cstheme="minorBidi"/>
      <w:smallCaps w:val="0"/>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A0C"/>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450A0C"/>
    <w:rPr>
      <w:rFonts w:ascii="Lucida Grande CY" w:eastAsiaTheme="minorHAnsi" w:hAnsi="Lucida Grande CY" w:cs="Lucida Grande CY"/>
      <w:smallCaps w:val="0"/>
      <w:sz w:val="18"/>
      <w:szCs w:val="18"/>
      <w:lang w:eastAsia="en-US"/>
    </w:rPr>
  </w:style>
  <w:style w:type="character" w:styleId="a5">
    <w:name w:val="Hyperlink"/>
    <w:basedOn w:val="a0"/>
    <w:uiPriority w:val="99"/>
    <w:unhideWhenUsed/>
    <w:rsid w:val="00EE3B6C"/>
    <w:rPr>
      <w:color w:val="0000FF" w:themeColor="hyperlink"/>
      <w:u w:val="single"/>
    </w:rPr>
  </w:style>
  <w:style w:type="paragraph" w:styleId="a6">
    <w:name w:val="header"/>
    <w:basedOn w:val="a"/>
    <w:link w:val="a7"/>
    <w:uiPriority w:val="99"/>
    <w:unhideWhenUsed/>
    <w:rsid w:val="004353C3"/>
    <w:pPr>
      <w:tabs>
        <w:tab w:val="center" w:pos="4677"/>
        <w:tab w:val="right" w:pos="9355"/>
      </w:tabs>
    </w:pPr>
  </w:style>
  <w:style w:type="character" w:customStyle="1" w:styleId="a7">
    <w:name w:val="Верхний колонтитул Знак"/>
    <w:basedOn w:val="a0"/>
    <w:link w:val="a6"/>
    <w:uiPriority w:val="99"/>
    <w:rsid w:val="004353C3"/>
    <w:rPr>
      <w:rFonts w:ascii="Times New Roman" w:eastAsiaTheme="minorHAnsi" w:hAnsi="Times New Roman" w:cstheme="minorBidi"/>
      <w:smallCaps w:val="0"/>
      <w:sz w:val="24"/>
      <w:szCs w:val="22"/>
      <w:lang w:eastAsia="en-US"/>
    </w:rPr>
  </w:style>
  <w:style w:type="paragraph" w:styleId="a8">
    <w:name w:val="footer"/>
    <w:basedOn w:val="a"/>
    <w:link w:val="a9"/>
    <w:uiPriority w:val="99"/>
    <w:unhideWhenUsed/>
    <w:rsid w:val="004353C3"/>
    <w:pPr>
      <w:tabs>
        <w:tab w:val="center" w:pos="4677"/>
        <w:tab w:val="right" w:pos="9355"/>
      </w:tabs>
    </w:pPr>
  </w:style>
  <w:style w:type="character" w:customStyle="1" w:styleId="a9">
    <w:name w:val="Нижний колонтитул Знак"/>
    <w:basedOn w:val="a0"/>
    <w:link w:val="a8"/>
    <w:uiPriority w:val="99"/>
    <w:rsid w:val="004353C3"/>
    <w:rPr>
      <w:rFonts w:ascii="Times New Roman" w:eastAsiaTheme="minorHAnsi" w:hAnsi="Times New Roman" w:cstheme="minorBidi"/>
      <w:smallCaps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cid:image001.jpg@01D1B5BF.D8721070"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ЕЦИИК</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Гальцина</dc:creator>
  <cp:keywords/>
  <dc:description/>
  <cp:lastModifiedBy>Алексанр</cp:lastModifiedBy>
  <cp:revision>3</cp:revision>
  <dcterms:created xsi:type="dcterms:W3CDTF">2016-11-05T01:59:00Z</dcterms:created>
  <dcterms:modified xsi:type="dcterms:W3CDTF">2016-11-05T02:01:00Z</dcterms:modified>
</cp:coreProperties>
</file>